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35DC" w:rsidRPr="00FE6C92" w:rsidRDefault="005735DC" w:rsidP="005735DC">
      <w:pPr>
        <w:spacing w:beforeLines="50" w:before="156"/>
        <w:ind w:leftChars="-100" w:left="-210" w:rightChars="-100" w:right="-210"/>
        <w:jc w:val="center"/>
        <w:rPr>
          <w:rFonts w:eastAsia="方正小标宋_GBK"/>
          <w:b/>
          <w:color w:val="FF0000"/>
          <w:w w:val="60"/>
          <w:sz w:val="136"/>
          <w:szCs w:val="136"/>
        </w:rPr>
      </w:pPr>
      <w:r w:rsidRPr="00FE6C92">
        <w:rPr>
          <w:rFonts w:eastAsia="方正小标宋_GBK" w:hint="eastAsia"/>
          <w:b/>
          <w:color w:val="FF0000"/>
          <w:w w:val="60"/>
          <w:sz w:val="136"/>
          <w:szCs w:val="136"/>
        </w:rPr>
        <w:t>教学监测评估工作简报</w:t>
      </w:r>
    </w:p>
    <w:p w:rsidR="005735DC" w:rsidRPr="00F74882" w:rsidRDefault="005735DC" w:rsidP="005735DC">
      <w:pPr>
        <w:spacing w:line="400" w:lineRule="exact"/>
        <w:jc w:val="center"/>
        <w:rPr>
          <w:rFonts w:eastAsia="方正黑体_GBK"/>
          <w:sz w:val="32"/>
          <w:szCs w:val="32"/>
        </w:rPr>
      </w:pPr>
      <w:r w:rsidRPr="00F74882">
        <w:rPr>
          <w:rFonts w:eastAsia="方正黑体_GBK"/>
          <w:sz w:val="32"/>
          <w:szCs w:val="32"/>
        </w:rPr>
        <w:t>2024</w:t>
      </w:r>
      <w:r w:rsidRPr="00F74882">
        <w:rPr>
          <w:rFonts w:eastAsia="方正黑体_GBK"/>
          <w:sz w:val="32"/>
          <w:szCs w:val="32"/>
        </w:rPr>
        <w:t>年第</w:t>
      </w:r>
      <w:r>
        <w:rPr>
          <w:rFonts w:eastAsia="方正黑体_GBK"/>
          <w:sz w:val="32"/>
          <w:szCs w:val="32"/>
        </w:rPr>
        <w:t>2</w:t>
      </w:r>
      <w:r w:rsidRPr="00F74882">
        <w:rPr>
          <w:rFonts w:eastAsia="方正黑体_GBK"/>
          <w:sz w:val="32"/>
          <w:szCs w:val="32"/>
        </w:rPr>
        <w:t>期</w:t>
      </w:r>
    </w:p>
    <w:p w:rsidR="005735DC" w:rsidRPr="00F74882" w:rsidRDefault="005735DC" w:rsidP="005735DC">
      <w:pPr>
        <w:spacing w:line="400" w:lineRule="exact"/>
        <w:jc w:val="center"/>
        <w:rPr>
          <w:rFonts w:eastAsia="方正黑体_GBK"/>
          <w:sz w:val="32"/>
          <w:szCs w:val="32"/>
        </w:rPr>
      </w:pPr>
    </w:p>
    <w:p w:rsidR="005735DC" w:rsidRPr="00F74882" w:rsidRDefault="005735DC" w:rsidP="005735DC">
      <w:pPr>
        <w:spacing w:line="400" w:lineRule="exact"/>
        <w:ind w:firstLineChars="100" w:firstLine="320"/>
        <w:rPr>
          <w:rFonts w:eastAsia="方正仿宋_GBK"/>
          <w:sz w:val="32"/>
          <w:szCs w:val="32"/>
        </w:rPr>
      </w:pPr>
      <w:r w:rsidRPr="00F74882">
        <w:rPr>
          <w:rFonts w:eastAsia="方正楷体_GBK" w:hint="eastAsia"/>
          <w:sz w:val="32"/>
          <w:szCs w:val="32"/>
        </w:rPr>
        <w:t>教学质量监测研究与评估中心</w:t>
      </w:r>
      <w:r w:rsidRPr="00F74882">
        <w:rPr>
          <w:rFonts w:eastAsia="方正楷体_GBK" w:hint="eastAsia"/>
          <w:sz w:val="32"/>
          <w:szCs w:val="32"/>
        </w:rPr>
        <w:t xml:space="preserve">     </w:t>
      </w:r>
      <w:r w:rsidRPr="00F74882">
        <w:rPr>
          <w:rFonts w:eastAsia="方正楷体_GBK"/>
          <w:sz w:val="32"/>
          <w:szCs w:val="32"/>
        </w:rPr>
        <w:t xml:space="preserve"> </w:t>
      </w:r>
      <w:r w:rsidRPr="00F74882">
        <w:rPr>
          <w:rFonts w:eastAsia="方正楷体_GBK" w:hint="eastAsia"/>
          <w:sz w:val="32"/>
          <w:szCs w:val="32"/>
        </w:rPr>
        <w:t xml:space="preserve">  202</w:t>
      </w:r>
      <w:r w:rsidRPr="00F74882">
        <w:rPr>
          <w:rFonts w:eastAsia="方正楷体_GBK"/>
          <w:sz w:val="32"/>
          <w:szCs w:val="32"/>
        </w:rPr>
        <w:t>4</w:t>
      </w:r>
      <w:r w:rsidRPr="00F74882">
        <w:rPr>
          <w:rFonts w:eastAsia="方正楷体_GBK" w:hint="eastAsia"/>
          <w:sz w:val="32"/>
          <w:szCs w:val="32"/>
        </w:rPr>
        <w:t>年</w:t>
      </w:r>
      <w:r w:rsidR="003C6C42">
        <w:rPr>
          <w:rFonts w:eastAsia="方正楷体_GBK"/>
          <w:sz w:val="32"/>
          <w:szCs w:val="32"/>
        </w:rPr>
        <w:t>5</w:t>
      </w:r>
      <w:r w:rsidRPr="00F74882">
        <w:rPr>
          <w:rFonts w:eastAsia="方正楷体_GBK" w:hint="eastAsia"/>
          <w:sz w:val="32"/>
          <w:szCs w:val="32"/>
        </w:rPr>
        <w:t>月</w:t>
      </w:r>
      <w:r w:rsidR="003C6C42">
        <w:rPr>
          <w:rFonts w:eastAsia="方正楷体_GBK"/>
          <w:sz w:val="32"/>
          <w:szCs w:val="32"/>
        </w:rPr>
        <w:t>11</w:t>
      </w:r>
      <w:r w:rsidRPr="00F74882">
        <w:rPr>
          <w:rFonts w:eastAsia="方正楷体_GBK" w:hint="eastAsia"/>
          <w:sz w:val="32"/>
          <w:szCs w:val="32"/>
        </w:rPr>
        <w:t>日</w:t>
      </w:r>
    </w:p>
    <w:p w:rsidR="005735DC" w:rsidRPr="00F74882" w:rsidRDefault="005735DC" w:rsidP="005735DC">
      <w:pPr>
        <w:widowControl/>
        <w:jc w:val="left"/>
        <w:rPr>
          <w:rStyle w:val="ab"/>
          <w:rFonts w:eastAsia="方正小标宋_GBK" w:cs="华文中宋"/>
          <w:kern w:val="0"/>
          <w:sz w:val="44"/>
          <w:szCs w:val="36"/>
          <w:shd w:val="clear" w:color="auto" w:fill="FFFFFF"/>
        </w:rPr>
      </w:pPr>
      <w:r w:rsidRPr="00F74882">
        <w:rPr>
          <w:rFonts w:eastAsia="华文中宋" w:cs="华文中宋"/>
          <w:b/>
          <w:noProof/>
          <w:kern w:val="0"/>
          <w:sz w:val="44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737C7D" wp14:editId="057BA466">
                <wp:simplePos x="0" y="0"/>
                <wp:positionH relativeFrom="column">
                  <wp:posOffset>-98879</wp:posOffset>
                </wp:positionH>
                <wp:positionV relativeFrom="paragraph">
                  <wp:posOffset>69850</wp:posOffset>
                </wp:positionV>
                <wp:extent cx="5493203" cy="0"/>
                <wp:effectExtent l="0" t="19050" r="31750" b="1905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93203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1B2B0BC" id="直接连接符 5" o:spid="_x0000_s1026" style="position:absolute;left:0;text-align:lef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.8pt,5.5pt" to="424.7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" strokecolor="red" strokeweight="2.5pt">
                <v:stroke joinstyle="miter"/>
              </v:line>
            </w:pict>
          </mc:Fallback>
        </mc:AlternateContent>
      </w:r>
    </w:p>
    <w:p w:rsidR="0010460A" w:rsidRDefault="00733AE9" w:rsidP="005735DC">
      <w:pPr>
        <w:widowControl/>
        <w:tabs>
          <w:tab w:val="left" w:pos="0"/>
        </w:tabs>
        <w:spacing w:beforeLines="50" w:before="156"/>
        <w:jc w:val="center"/>
        <w:rPr>
          <w:rFonts w:ascii="Times New Roman" w:eastAsia="方正小标宋_GBK" w:hAnsi="Times New Roman" w:cs="仿宋_gb2312"/>
          <w:color w:val="000000" w:themeColor="text1"/>
          <w:kern w:val="0"/>
          <w:sz w:val="36"/>
          <w:szCs w:val="30"/>
          <w:shd w:val="clear" w:color="auto" w:fill="FFFFFF"/>
        </w:rPr>
      </w:pPr>
      <w:r>
        <w:rPr>
          <w:rStyle w:val="ab"/>
          <w:rFonts w:ascii="Times New Roman" w:eastAsia="方正小标宋_GBK" w:hAnsi="Times New Roman" w:cs="华文中宋" w:hint="eastAsia"/>
          <w:color w:val="000000" w:themeColor="text1"/>
          <w:kern w:val="0"/>
          <w:sz w:val="44"/>
          <w:szCs w:val="36"/>
          <w:shd w:val="clear" w:color="auto" w:fill="FFFFFF"/>
        </w:rPr>
        <w:t>202</w:t>
      </w:r>
      <w:r>
        <w:rPr>
          <w:rStyle w:val="ab"/>
          <w:rFonts w:ascii="Times New Roman" w:eastAsia="方正小标宋_GBK" w:hAnsi="Times New Roman" w:cs="华文中宋"/>
          <w:color w:val="000000" w:themeColor="text1"/>
          <w:kern w:val="0"/>
          <w:sz w:val="44"/>
          <w:szCs w:val="36"/>
          <w:shd w:val="clear" w:color="auto" w:fill="FFFFFF"/>
        </w:rPr>
        <w:t>4</w:t>
      </w:r>
      <w:r>
        <w:rPr>
          <w:rStyle w:val="ab"/>
          <w:rFonts w:ascii="Times New Roman" w:eastAsia="方正小标宋_GBK" w:hAnsi="Times New Roman" w:cs="华文中宋" w:hint="eastAsia"/>
          <w:color w:val="000000" w:themeColor="text1"/>
          <w:kern w:val="0"/>
          <w:sz w:val="44"/>
          <w:szCs w:val="36"/>
          <w:shd w:val="clear" w:color="auto" w:fill="FFFFFF"/>
        </w:rPr>
        <w:t>年春期课程考核工作专项检查报告</w:t>
      </w:r>
    </w:p>
    <w:p w:rsidR="0010460A" w:rsidRDefault="00733AE9">
      <w:pPr>
        <w:spacing w:line="58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为强化本科教学过程管理，不断提升人才培养质量，推动本科教学高质量发展，根据《长江师范学院教学检查实施办法》（长师院办发〔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2022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〕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37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号），本学期第</w:t>
      </w:r>
      <w:r>
        <w:rPr>
          <w:rFonts w:ascii="Times New Roman" w:eastAsia="方正仿宋_GBK" w:hAnsi="Times New Roman"/>
          <w:color w:val="000000" w:themeColor="text1"/>
          <w:sz w:val="32"/>
          <w:szCs w:val="32"/>
        </w:rPr>
        <w:t>5-7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周，学校组织教学督导委员对</w:t>
      </w:r>
      <w:r w:rsidRPr="000F7545">
        <w:rPr>
          <w:rFonts w:ascii="Times New Roman" w:eastAsia="方正仿宋_GBK" w:hAnsi="Times New Roman"/>
          <w:color w:val="000000" w:themeColor="text1"/>
          <w:sz w:val="32"/>
          <w:szCs w:val="32"/>
        </w:rPr>
        <w:t>2023</w:t>
      </w:r>
      <w:r w:rsidRPr="000F75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年春期和</w:t>
      </w:r>
      <w:proofErr w:type="gramStart"/>
      <w:r w:rsidRPr="000F7545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秋期</w:t>
      </w:r>
      <w:proofErr w:type="gramEnd"/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的课程考核工作进行了专项检查，现将有关情况报告如下：</w:t>
      </w:r>
    </w:p>
    <w:p w:rsidR="0010460A" w:rsidRDefault="00733AE9">
      <w:pPr>
        <w:spacing w:beforeLines="30" w:before="93" w:afterLines="30" w:after="93" w:line="580" w:lineRule="exact"/>
        <w:ind w:firstLineChars="200" w:firstLine="643"/>
        <w:outlineLvl w:val="1"/>
        <w:rPr>
          <w:rFonts w:ascii="Times New Roman" w:eastAsia="黑体" w:hAnsi="Times New Roman"/>
          <w:b/>
          <w:color w:val="000000" w:themeColor="text1"/>
          <w:sz w:val="32"/>
          <w:szCs w:val="32"/>
        </w:rPr>
      </w:pPr>
      <w:bookmarkStart w:id="0" w:name="_Toc144888552"/>
      <w:r>
        <w:rPr>
          <w:rFonts w:ascii="Times New Roman" w:eastAsia="黑体" w:hAnsi="Times New Roman" w:hint="eastAsia"/>
          <w:b/>
          <w:color w:val="000000" w:themeColor="text1"/>
          <w:sz w:val="32"/>
          <w:szCs w:val="32"/>
        </w:rPr>
        <w:t>一、专项检查基本情况</w:t>
      </w:r>
      <w:bookmarkEnd w:id="0"/>
    </w:p>
    <w:p w:rsidR="0010460A" w:rsidRDefault="00733AE9">
      <w:pPr>
        <w:spacing w:beforeLines="30" w:before="93" w:afterLines="30" w:after="93" w:line="580" w:lineRule="exact"/>
        <w:ind w:firstLineChars="200" w:firstLine="643"/>
        <w:rPr>
          <w:rFonts w:ascii="Times New Roman" w:eastAsia="方正楷体_GBK" w:hAnsi="Times New Roman"/>
          <w:b/>
          <w:color w:val="000000" w:themeColor="text1"/>
          <w:sz w:val="32"/>
          <w:szCs w:val="32"/>
        </w:rPr>
      </w:pPr>
      <w:r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1</w:t>
      </w:r>
      <w:r>
        <w:rPr>
          <w:rFonts w:ascii="Times New Roman" w:eastAsia="方正楷体_GBK" w:hAnsi="Times New Roman"/>
          <w:b/>
          <w:color w:val="000000" w:themeColor="text1"/>
          <w:sz w:val="32"/>
          <w:szCs w:val="32"/>
        </w:rPr>
        <w:t>.</w:t>
      </w:r>
      <w:r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检查内容</w:t>
      </w:r>
    </w:p>
    <w:p w:rsidR="0010460A" w:rsidRDefault="00733AE9">
      <w:pPr>
        <w:spacing w:line="58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课程考核专项检查每学期进行一次，检查内容包括试卷命题、试卷评阅、试卷分析、平时考核、材料归档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5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个一级指标和</w:t>
      </w:r>
      <w:r>
        <w:rPr>
          <w:rFonts w:ascii="Times New Roman" w:eastAsia="方正仿宋_GBK" w:hAnsi="Times New Roman"/>
          <w:color w:val="000000" w:themeColor="text1"/>
          <w:sz w:val="32"/>
          <w:szCs w:val="32"/>
        </w:rPr>
        <w:t>15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个二级指标。</w:t>
      </w:r>
    </w:p>
    <w:p w:rsidR="0010460A" w:rsidRDefault="00733AE9">
      <w:pPr>
        <w:widowControl/>
        <w:jc w:val="left"/>
        <w:rPr>
          <w:rFonts w:ascii="Times New Roman" w:eastAsia="方正楷体_GBK" w:hAnsi="Times New Roman"/>
          <w:b/>
          <w:color w:val="000000" w:themeColor="text1"/>
          <w:sz w:val="32"/>
          <w:szCs w:val="32"/>
        </w:rPr>
      </w:pPr>
      <w:r>
        <w:rPr>
          <w:rFonts w:ascii="Times New Roman" w:eastAsia="方正楷体_GBK" w:hAnsi="Times New Roman"/>
          <w:b/>
          <w:color w:val="000000" w:themeColor="text1"/>
          <w:sz w:val="32"/>
          <w:szCs w:val="32"/>
        </w:rPr>
        <w:br w:type="page"/>
      </w:r>
    </w:p>
    <w:p w:rsidR="0010460A" w:rsidRDefault="00733AE9">
      <w:pPr>
        <w:spacing w:beforeLines="30" w:before="93" w:afterLines="30" w:after="93" w:line="580" w:lineRule="exact"/>
        <w:ind w:firstLineChars="200" w:firstLine="643"/>
        <w:rPr>
          <w:rFonts w:ascii="Times New Roman" w:eastAsia="方正楷体_GBK" w:hAnsi="Times New Roman"/>
          <w:b/>
          <w:color w:val="000000" w:themeColor="text1"/>
          <w:sz w:val="32"/>
          <w:szCs w:val="32"/>
        </w:rPr>
      </w:pPr>
      <w:r>
        <w:rPr>
          <w:rFonts w:ascii="Times New Roman" w:eastAsia="方正楷体_GBK" w:hAnsi="Times New Roman"/>
          <w:b/>
          <w:color w:val="000000" w:themeColor="text1"/>
          <w:sz w:val="32"/>
          <w:szCs w:val="32"/>
        </w:rPr>
        <w:lastRenderedPageBreak/>
        <w:t>2.</w:t>
      </w:r>
      <w:r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检查人员安排</w:t>
      </w:r>
    </w:p>
    <w:p w:rsidR="0010460A" w:rsidRDefault="00733AE9">
      <w:pPr>
        <w:spacing w:line="58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评估中心将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2</w:t>
      </w:r>
      <w:r>
        <w:rPr>
          <w:rFonts w:ascii="Times New Roman" w:eastAsia="方正仿宋_GBK" w:hAnsi="Times New Roman"/>
          <w:color w:val="000000" w:themeColor="text1"/>
          <w:sz w:val="32"/>
          <w:szCs w:val="32"/>
        </w:rPr>
        <w:t>0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名督导委员分为</w:t>
      </w:r>
      <w:r>
        <w:rPr>
          <w:rFonts w:ascii="Times New Roman" w:eastAsia="方正仿宋_GBK" w:hAnsi="Times New Roman"/>
          <w:color w:val="000000" w:themeColor="text1"/>
          <w:sz w:val="32"/>
          <w:szCs w:val="32"/>
        </w:rPr>
        <w:t>5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个小组，每个小组检查</w:t>
      </w:r>
      <w:r>
        <w:rPr>
          <w:rFonts w:ascii="Times New Roman" w:eastAsia="方正仿宋_GBK" w:hAnsi="Times New Roman"/>
          <w:color w:val="000000" w:themeColor="text1"/>
          <w:sz w:val="32"/>
          <w:szCs w:val="32"/>
        </w:rPr>
        <w:t>4</w:t>
      </w:r>
      <w:r w:rsidR="00AD66C5">
        <w:rPr>
          <w:rFonts w:ascii="Times New Roman" w:eastAsia="方正仿宋_GBK" w:hAnsi="Times New Roman"/>
          <w:color w:val="000000" w:themeColor="text1"/>
          <w:sz w:val="32"/>
          <w:szCs w:val="32"/>
        </w:rPr>
        <w:t>-</w:t>
      </w:r>
      <w:r>
        <w:rPr>
          <w:rFonts w:ascii="Times New Roman" w:eastAsia="方正仿宋_GBK" w:hAnsi="Times New Roman"/>
          <w:color w:val="000000" w:themeColor="text1"/>
          <w:sz w:val="32"/>
          <w:szCs w:val="32"/>
        </w:rPr>
        <w:t>5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个院部，具体安排如下：</w:t>
      </w:r>
    </w:p>
    <w:tbl>
      <w:tblPr>
        <w:tblW w:w="8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39"/>
        <w:gridCol w:w="3251"/>
        <w:gridCol w:w="4394"/>
      </w:tblGrid>
      <w:tr w:rsidR="0010460A">
        <w:trPr>
          <w:trHeight w:val="567"/>
          <w:tblHeader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:rsidR="0010460A" w:rsidRDefault="00733AE9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b/>
                <w:bCs/>
                <w:kern w:val="0"/>
                <w:sz w:val="26"/>
                <w:szCs w:val="26"/>
              </w:rPr>
            </w:pPr>
            <w:r>
              <w:rPr>
                <w:rFonts w:ascii="Times New Roman" w:eastAsia="方正仿宋_GBK" w:hAnsi="Times New Roman" w:cs="宋体" w:hint="eastAsia"/>
                <w:b/>
                <w:bCs/>
                <w:kern w:val="0"/>
                <w:sz w:val="26"/>
                <w:szCs w:val="26"/>
              </w:rPr>
              <w:t>组别</w:t>
            </w:r>
          </w:p>
        </w:tc>
        <w:tc>
          <w:tcPr>
            <w:tcW w:w="3251" w:type="dxa"/>
            <w:shd w:val="clear" w:color="auto" w:fill="auto"/>
            <w:noWrap/>
            <w:vAlign w:val="center"/>
          </w:tcPr>
          <w:p w:rsidR="0010460A" w:rsidRDefault="00733AE9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b/>
                <w:bCs/>
                <w:kern w:val="0"/>
                <w:sz w:val="26"/>
                <w:szCs w:val="26"/>
              </w:rPr>
            </w:pPr>
            <w:r>
              <w:rPr>
                <w:rFonts w:ascii="Times New Roman" w:eastAsia="方正仿宋_GBK" w:hAnsi="Times New Roman" w:cs="宋体" w:hint="eastAsia"/>
                <w:b/>
                <w:bCs/>
                <w:kern w:val="0"/>
                <w:sz w:val="26"/>
                <w:szCs w:val="26"/>
              </w:rPr>
              <w:t>督导委员姓名</w:t>
            </w:r>
          </w:p>
        </w:tc>
        <w:tc>
          <w:tcPr>
            <w:tcW w:w="4394" w:type="dxa"/>
            <w:shd w:val="clear" w:color="auto" w:fill="auto"/>
            <w:noWrap/>
            <w:vAlign w:val="center"/>
          </w:tcPr>
          <w:p w:rsidR="0010460A" w:rsidRDefault="00733AE9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b/>
                <w:bCs/>
                <w:kern w:val="0"/>
                <w:sz w:val="26"/>
                <w:szCs w:val="26"/>
              </w:rPr>
            </w:pPr>
            <w:r>
              <w:rPr>
                <w:rFonts w:ascii="Times New Roman" w:eastAsia="方正仿宋_GBK" w:hAnsi="Times New Roman" w:cs="宋体" w:hint="eastAsia"/>
                <w:b/>
                <w:bCs/>
                <w:kern w:val="0"/>
                <w:sz w:val="26"/>
                <w:szCs w:val="26"/>
              </w:rPr>
              <w:t>检查学院</w:t>
            </w:r>
          </w:p>
        </w:tc>
      </w:tr>
      <w:tr w:rsidR="0010460A">
        <w:trPr>
          <w:trHeight w:val="567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:rsidR="0010460A" w:rsidRDefault="00733AE9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1</w:t>
            </w:r>
          </w:p>
        </w:tc>
        <w:tc>
          <w:tcPr>
            <w:tcW w:w="3251" w:type="dxa"/>
            <w:shd w:val="clear" w:color="auto" w:fill="auto"/>
            <w:vAlign w:val="center"/>
          </w:tcPr>
          <w:p w:rsidR="0010460A" w:rsidRDefault="00733AE9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周绍东（组长）、秦念阳、朱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 xml:space="preserve">  </w:t>
            </w:r>
            <w:proofErr w:type="gramStart"/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挢</w:t>
            </w:r>
            <w:proofErr w:type="gramEnd"/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、王素梅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10460A" w:rsidRDefault="00733AE9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机器人工程学院（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2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个专业）</w:t>
            </w:r>
          </w:p>
          <w:p w:rsidR="0010460A" w:rsidRDefault="00733AE9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文学院（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2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个专业）</w:t>
            </w:r>
          </w:p>
          <w:p w:rsidR="0010460A" w:rsidRDefault="00733AE9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数学与统计学院（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2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个专业）</w:t>
            </w:r>
          </w:p>
          <w:p w:rsidR="0010460A" w:rsidRDefault="00733AE9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教师教育学院（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1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个专业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+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公共课）</w:t>
            </w:r>
          </w:p>
        </w:tc>
      </w:tr>
      <w:tr w:rsidR="0010460A">
        <w:trPr>
          <w:trHeight w:val="567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:rsidR="0010460A" w:rsidRDefault="00733AE9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2</w:t>
            </w:r>
          </w:p>
        </w:tc>
        <w:tc>
          <w:tcPr>
            <w:tcW w:w="3251" w:type="dxa"/>
            <w:shd w:val="clear" w:color="auto" w:fill="auto"/>
            <w:vAlign w:val="center"/>
          </w:tcPr>
          <w:p w:rsidR="0010460A" w:rsidRDefault="00733AE9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贺国权（组长）、王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 xml:space="preserve">  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泓、雷继红、王慧超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10460A" w:rsidRDefault="00733AE9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传媒学院（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2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个专业）</w:t>
            </w:r>
          </w:p>
          <w:p w:rsidR="0010460A" w:rsidRDefault="00733AE9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管理学院（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5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个专业）</w:t>
            </w:r>
          </w:p>
          <w:p w:rsidR="0010460A" w:rsidRDefault="00733AE9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化学化工学院（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2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个专业）</w:t>
            </w:r>
          </w:p>
          <w:p w:rsidR="0010460A" w:rsidRDefault="00733AE9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大数据与智能工程学院（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3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个专业）</w:t>
            </w:r>
          </w:p>
        </w:tc>
      </w:tr>
      <w:tr w:rsidR="0010460A">
        <w:trPr>
          <w:trHeight w:val="567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:rsidR="0010460A" w:rsidRDefault="00733AE9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3</w:t>
            </w:r>
          </w:p>
        </w:tc>
        <w:tc>
          <w:tcPr>
            <w:tcW w:w="3251" w:type="dxa"/>
            <w:shd w:val="clear" w:color="auto" w:fill="auto"/>
            <w:vAlign w:val="center"/>
          </w:tcPr>
          <w:p w:rsidR="0010460A" w:rsidRDefault="00733AE9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于海洪（组长）、童志博、王小平、游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 xml:space="preserve">  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强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10460A" w:rsidRDefault="00733AE9">
            <w:pPr>
              <w:widowControl/>
              <w:spacing w:line="360" w:lineRule="exact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马克思主义学院（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1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个专业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+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公共课）</w:t>
            </w:r>
          </w:p>
          <w:p w:rsidR="0010460A" w:rsidRDefault="00733AE9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电子信息工程学院（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4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个专业）</w:t>
            </w:r>
          </w:p>
          <w:p w:rsidR="0010460A" w:rsidRDefault="00733AE9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土木工程学院（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3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个专业）</w:t>
            </w:r>
          </w:p>
          <w:p w:rsidR="0010460A" w:rsidRDefault="00733AE9" w:rsidP="000F7545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外国语学院（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4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个专业）</w:t>
            </w:r>
          </w:p>
        </w:tc>
      </w:tr>
      <w:tr w:rsidR="0010460A">
        <w:trPr>
          <w:trHeight w:val="567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:rsidR="0010460A" w:rsidRDefault="00733AE9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4</w:t>
            </w:r>
          </w:p>
        </w:tc>
        <w:tc>
          <w:tcPr>
            <w:tcW w:w="3251" w:type="dxa"/>
            <w:shd w:val="clear" w:color="auto" w:fill="auto"/>
            <w:vAlign w:val="center"/>
          </w:tcPr>
          <w:p w:rsidR="0010460A" w:rsidRDefault="00733AE9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韦济木（组长）、周仁成、廖东红、唐玉凤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10460A" w:rsidRDefault="00733AE9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美术学院（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6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个专业）</w:t>
            </w:r>
          </w:p>
          <w:p w:rsidR="0010460A" w:rsidRDefault="00733AE9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政治与历史学院（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2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个专业）</w:t>
            </w:r>
          </w:p>
          <w:p w:rsidR="0010460A" w:rsidRDefault="00733AE9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音乐学院（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3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个专业）</w:t>
            </w:r>
          </w:p>
          <w:p w:rsidR="0010460A" w:rsidRDefault="00733AE9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体育与健康科学学院（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2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个专业）</w:t>
            </w:r>
          </w:p>
          <w:p w:rsidR="0010460A" w:rsidRDefault="00733AE9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大学外语教学科研部（公共课）</w:t>
            </w:r>
          </w:p>
        </w:tc>
      </w:tr>
      <w:tr w:rsidR="0010460A">
        <w:trPr>
          <w:trHeight w:val="567"/>
          <w:jc w:val="center"/>
        </w:trPr>
        <w:tc>
          <w:tcPr>
            <w:tcW w:w="1139" w:type="dxa"/>
            <w:shd w:val="clear" w:color="auto" w:fill="auto"/>
            <w:noWrap/>
            <w:vAlign w:val="center"/>
          </w:tcPr>
          <w:p w:rsidR="0010460A" w:rsidRDefault="00733AE9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5</w:t>
            </w:r>
          </w:p>
        </w:tc>
        <w:tc>
          <w:tcPr>
            <w:tcW w:w="3251" w:type="dxa"/>
            <w:shd w:val="clear" w:color="auto" w:fill="auto"/>
            <w:vAlign w:val="center"/>
          </w:tcPr>
          <w:p w:rsidR="0010460A" w:rsidRDefault="00733AE9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proofErr w:type="gramStart"/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卢</w:t>
            </w:r>
            <w:proofErr w:type="gramEnd"/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孟春（组长）、何树华、何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 xml:space="preserve">  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芳、朱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 xml:space="preserve">  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斌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10460A" w:rsidRDefault="00733AE9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现代农业与生物工程学院（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5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个专业）</w:t>
            </w:r>
          </w:p>
          <w:p w:rsidR="0010460A" w:rsidRDefault="00733AE9">
            <w:pPr>
              <w:widowControl/>
              <w:spacing w:line="360" w:lineRule="exact"/>
              <w:ind w:firstLineChars="200" w:firstLine="480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绿色智慧环境学院（</w:t>
            </w:r>
            <w:r>
              <w:rPr>
                <w:rFonts w:ascii="Times New Roman" w:eastAsia="方正仿宋_GBK" w:hAnsi="Times New Roman" w:cs="宋体"/>
                <w:kern w:val="0"/>
                <w:sz w:val="24"/>
              </w:rPr>
              <w:t>2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个专业）</w:t>
            </w:r>
          </w:p>
          <w:p w:rsidR="0010460A" w:rsidRDefault="00733AE9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财经学院（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4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个专业）</w:t>
            </w:r>
          </w:p>
          <w:p w:rsidR="0010460A" w:rsidRDefault="00733AE9">
            <w:pPr>
              <w:widowControl/>
              <w:spacing w:line="360" w:lineRule="exact"/>
              <w:jc w:val="center"/>
              <w:rPr>
                <w:rFonts w:ascii="Times New Roman" w:eastAsia="方正仿宋_GBK" w:hAnsi="Times New Roman" w:cs="宋体"/>
                <w:kern w:val="0"/>
                <w:sz w:val="24"/>
              </w:rPr>
            </w:pP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材料科学与工程学院（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4</w:t>
            </w:r>
            <w:r>
              <w:rPr>
                <w:rFonts w:ascii="Times New Roman" w:eastAsia="方正仿宋_GBK" w:hAnsi="Times New Roman" w:cs="宋体" w:hint="eastAsia"/>
                <w:kern w:val="0"/>
                <w:sz w:val="24"/>
              </w:rPr>
              <w:t>个专业）</w:t>
            </w:r>
          </w:p>
        </w:tc>
      </w:tr>
    </w:tbl>
    <w:p w:rsidR="0010460A" w:rsidRDefault="00733AE9">
      <w:pPr>
        <w:spacing w:beforeLines="30" w:before="93" w:afterLines="30" w:after="93" w:line="560" w:lineRule="exact"/>
        <w:ind w:firstLineChars="200" w:firstLine="643"/>
        <w:rPr>
          <w:rFonts w:ascii="Times New Roman" w:eastAsia="方正楷体_GBK" w:hAnsi="Times New Roman"/>
          <w:b/>
          <w:color w:val="000000" w:themeColor="text1"/>
          <w:sz w:val="32"/>
          <w:szCs w:val="32"/>
        </w:rPr>
      </w:pPr>
      <w:r>
        <w:rPr>
          <w:rFonts w:ascii="Times New Roman" w:eastAsia="方正楷体_GBK" w:hAnsi="Times New Roman"/>
          <w:b/>
          <w:color w:val="000000" w:themeColor="text1"/>
          <w:sz w:val="32"/>
          <w:szCs w:val="32"/>
        </w:rPr>
        <w:t>3.</w:t>
      </w:r>
      <w:r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检查过程</w:t>
      </w:r>
    </w:p>
    <w:p w:rsidR="0010460A" w:rsidRDefault="00733AE9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（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1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）发布通知。评估中心于</w:t>
      </w:r>
      <w:r>
        <w:rPr>
          <w:rFonts w:ascii="Times New Roman" w:eastAsia="方正仿宋_GBK" w:hAnsi="Times New Roman"/>
          <w:color w:val="000000" w:themeColor="text1"/>
          <w:sz w:val="32"/>
          <w:szCs w:val="32"/>
        </w:rPr>
        <w:t>3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月</w:t>
      </w:r>
      <w:r>
        <w:rPr>
          <w:rFonts w:ascii="Times New Roman" w:eastAsia="方正仿宋_GBK" w:hAnsi="Times New Roman"/>
          <w:color w:val="000000" w:themeColor="text1"/>
          <w:sz w:val="32"/>
          <w:szCs w:val="32"/>
        </w:rPr>
        <w:t>27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日发布通知，明确检查内容、检查范围、组织实施安排和工作要求。</w:t>
      </w:r>
      <w:r>
        <w:rPr>
          <w:rFonts w:ascii="Times New Roman" w:eastAsia="方正仿宋_GBK" w:hAnsi="Times New Roman"/>
          <w:color w:val="000000" w:themeColor="text1"/>
          <w:sz w:val="32"/>
          <w:szCs w:val="32"/>
        </w:rPr>
        <w:br w:type="page"/>
      </w:r>
    </w:p>
    <w:p w:rsidR="0010460A" w:rsidRDefault="00733AE9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lastRenderedPageBreak/>
        <w:t>（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2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）院部自查。各院部于第</w:t>
      </w:r>
      <w:r>
        <w:rPr>
          <w:rFonts w:ascii="Times New Roman" w:eastAsia="方正仿宋_GBK" w:hAnsi="Times New Roman"/>
          <w:color w:val="000000" w:themeColor="text1"/>
          <w:sz w:val="32"/>
          <w:szCs w:val="32"/>
        </w:rPr>
        <w:t>5-6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周开展自查</w:t>
      </w:r>
      <w:r w:rsidR="00320406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，原则上要求院部</w:t>
      </w:r>
      <w:r w:rsidR="003E3A6C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组织督导</w:t>
      </w:r>
      <w:r w:rsidR="00320406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对试卷自查实现全覆盖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，</w:t>
      </w:r>
      <w:r w:rsidR="00320406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并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完成自查评分表。</w:t>
      </w:r>
    </w:p>
    <w:p w:rsidR="0010460A" w:rsidRDefault="00733AE9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（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3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）督导检查。校级教学督导委员于第</w:t>
      </w:r>
      <w:r>
        <w:rPr>
          <w:rFonts w:ascii="Times New Roman" w:eastAsia="方正仿宋_GBK" w:hAnsi="Times New Roman"/>
          <w:color w:val="000000" w:themeColor="text1"/>
          <w:sz w:val="32"/>
          <w:szCs w:val="32"/>
        </w:rPr>
        <w:t>7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周对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2</w:t>
      </w:r>
      <w:r>
        <w:rPr>
          <w:rFonts w:ascii="Times New Roman" w:eastAsia="方正仿宋_GBK" w:hAnsi="Times New Roman"/>
          <w:color w:val="000000" w:themeColor="text1"/>
          <w:sz w:val="32"/>
          <w:szCs w:val="32"/>
        </w:rPr>
        <w:t>1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个院部开展现场检查，每个院部现场检查时间为半天，共抽查课程</w:t>
      </w:r>
      <w:r>
        <w:rPr>
          <w:rFonts w:ascii="Times New Roman" w:eastAsia="方正仿宋_GBK" w:hAnsi="Times New Roman"/>
          <w:color w:val="000000" w:themeColor="text1"/>
          <w:sz w:val="32"/>
          <w:szCs w:val="32"/>
        </w:rPr>
        <w:t>300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余门，查阅试卷</w:t>
      </w:r>
      <w:r>
        <w:rPr>
          <w:rFonts w:ascii="Times New Roman" w:eastAsia="方正仿宋_GBK" w:hAnsi="Times New Roman"/>
          <w:color w:val="000000" w:themeColor="text1"/>
          <w:sz w:val="32"/>
          <w:szCs w:val="32"/>
        </w:rPr>
        <w:t>2000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余份，发现和收集到各类问题和建议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8</w:t>
      </w:r>
      <w:r>
        <w:rPr>
          <w:rFonts w:ascii="Times New Roman" w:eastAsia="方正仿宋_GBK" w:hAnsi="Times New Roman"/>
          <w:color w:val="000000" w:themeColor="text1"/>
          <w:sz w:val="32"/>
          <w:szCs w:val="32"/>
        </w:rPr>
        <w:t>0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余条。</w:t>
      </w:r>
    </w:p>
    <w:p w:rsidR="0010460A" w:rsidRDefault="00733AE9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（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4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）信息反馈。检查小组将检查发现问题梳理汇总，形成《课程考核专项检查信息反馈表》，及时反馈给院部。</w:t>
      </w:r>
    </w:p>
    <w:p w:rsidR="0010460A" w:rsidRDefault="00733AE9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（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5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）院部整改。院部根据检查小组反馈的意见进行整改，并将整改情况反馈到评估中心。</w:t>
      </w:r>
    </w:p>
    <w:p w:rsidR="0010460A" w:rsidRDefault="00733AE9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（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6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）分析总结。评估中心对本次专项检查工作进行总结，并形成《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202</w:t>
      </w:r>
      <w:r>
        <w:rPr>
          <w:rFonts w:ascii="Times New Roman" w:eastAsia="方正仿宋_GBK" w:hAnsi="Times New Roman"/>
          <w:color w:val="000000" w:themeColor="text1"/>
          <w:sz w:val="32"/>
          <w:szCs w:val="32"/>
        </w:rPr>
        <w:t>4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年春期课程考核工作专项检查报告》。</w:t>
      </w:r>
    </w:p>
    <w:p w:rsidR="0010460A" w:rsidRDefault="00733AE9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（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7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）整改复查。评估中心对院部整改情况进行复查，并将反馈材料存档，最终形成质量监控闭环。</w:t>
      </w:r>
    </w:p>
    <w:p w:rsidR="0010460A" w:rsidRDefault="00733AE9">
      <w:pPr>
        <w:spacing w:beforeLines="30" w:before="93" w:afterLines="30" w:after="93" w:line="560" w:lineRule="exact"/>
        <w:ind w:firstLineChars="200" w:firstLine="643"/>
        <w:outlineLvl w:val="1"/>
        <w:rPr>
          <w:rFonts w:ascii="Times New Roman" w:eastAsia="黑体" w:hAnsi="Times New Roman"/>
          <w:b/>
          <w:color w:val="000000" w:themeColor="text1"/>
          <w:sz w:val="32"/>
          <w:szCs w:val="32"/>
        </w:rPr>
      </w:pPr>
      <w:bookmarkStart w:id="1" w:name="_Toc144888553"/>
      <w:r>
        <w:rPr>
          <w:rFonts w:ascii="Times New Roman" w:eastAsia="黑体" w:hAnsi="Times New Roman" w:hint="eastAsia"/>
          <w:b/>
          <w:color w:val="000000" w:themeColor="text1"/>
          <w:sz w:val="32"/>
          <w:szCs w:val="32"/>
        </w:rPr>
        <w:t>二、课程考核专项检查信息反馈</w:t>
      </w:r>
      <w:bookmarkEnd w:id="1"/>
    </w:p>
    <w:p w:rsidR="0010460A" w:rsidRDefault="00733AE9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各检查小组根据检查情况，按照《课程考核专项检查表》中评价指标，对各院部</w:t>
      </w:r>
      <w:r>
        <w:rPr>
          <w:rFonts w:ascii="Times New Roman" w:eastAsia="方正仿宋_GBK" w:hAnsi="Times New Roman"/>
          <w:color w:val="000000" w:themeColor="text1"/>
          <w:sz w:val="32"/>
          <w:szCs w:val="32"/>
        </w:rPr>
        <w:t>2023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年级春期和</w:t>
      </w:r>
      <w:proofErr w:type="gramStart"/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秋期</w:t>
      </w:r>
      <w:proofErr w:type="gramEnd"/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的课程考核工作进行了综合评分，经集中评议，马克思主义学院、绿色智慧环境学院、大数据与智能工程学院、政治与历史学院、教师教育学院本次专项检查结果为“优秀”。体育与健康学院为“合格”，其余学院为“良好”。综合评分如下：</w:t>
      </w:r>
    </w:p>
    <w:p w:rsidR="0010460A" w:rsidRDefault="00356690">
      <w:pPr>
        <w:ind w:leftChars="-67" w:left="-141"/>
        <w:jc w:val="center"/>
        <w:rPr>
          <w:rFonts w:ascii="Times New Roman" w:eastAsia="仿宋" w:hAnsi="Times New Roman"/>
          <w:color w:val="000000" w:themeColor="text1"/>
          <w:sz w:val="28"/>
          <w:szCs w:val="32"/>
        </w:rPr>
      </w:pPr>
      <w:r>
        <w:rPr>
          <w:noProof/>
        </w:rPr>
        <w:lastRenderedPageBreak/>
        <w:drawing>
          <wp:inline distT="0" distB="0" distL="0" distR="0" wp14:anchorId="1D3DC36C" wp14:editId="4744A495">
            <wp:extent cx="5553075" cy="5915025"/>
            <wp:effectExtent l="0" t="0" r="9525" b="9525"/>
            <wp:docPr id="4" name="图表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0460A" w:rsidRDefault="00733AE9">
      <w:pPr>
        <w:spacing w:afterLines="50" w:after="156" w:line="400" w:lineRule="exact"/>
        <w:jc w:val="center"/>
        <w:rPr>
          <w:rFonts w:ascii="Times New Roman" w:eastAsia="方正黑体_GBK" w:hAnsi="Times New Roman"/>
          <w:color w:val="000000" w:themeColor="text1"/>
          <w:sz w:val="24"/>
        </w:rPr>
      </w:pPr>
      <w:r>
        <w:rPr>
          <w:rFonts w:ascii="Times New Roman" w:eastAsia="方正黑体_GBK" w:hAnsi="Times New Roman" w:hint="eastAsia"/>
          <w:color w:val="000000" w:themeColor="text1"/>
          <w:sz w:val="24"/>
        </w:rPr>
        <w:t>图</w:t>
      </w:r>
      <w:r>
        <w:rPr>
          <w:rFonts w:ascii="Times New Roman" w:eastAsia="方正黑体_GBK" w:hAnsi="Times New Roman" w:hint="eastAsia"/>
          <w:color w:val="000000" w:themeColor="text1"/>
          <w:sz w:val="24"/>
        </w:rPr>
        <w:t xml:space="preserve">1  </w:t>
      </w:r>
      <w:r>
        <w:rPr>
          <w:rFonts w:ascii="Times New Roman" w:eastAsia="方正黑体_GBK" w:hAnsi="Times New Roman" w:hint="eastAsia"/>
          <w:color w:val="000000" w:themeColor="text1"/>
          <w:sz w:val="24"/>
        </w:rPr>
        <w:t>各院部课程考核专项检查综合得分</w:t>
      </w:r>
    </w:p>
    <w:p w:rsidR="0010460A" w:rsidRDefault="00733AE9">
      <w:pPr>
        <w:spacing w:line="560" w:lineRule="exact"/>
        <w:ind w:firstLineChars="200" w:firstLine="640"/>
        <w:rPr>
          <w:rFonts w:ascii="Times New Roman" w:eastAsia="方正楷体_GBK" w:hAnsi="Times New Roman"/>
          <w:b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具体</w:t>
      </w:r>
      <w:r>
        <w:rPr>
          <w:rFonts w:ascii="Times New Roman" w:eastAsia="方正仿宋_GBK" w:hAnsi="Times New Roman"/>
          <w:color w:val="000000" w:themeColor="text1"/>
          <w:sz w:val="32"/>
          <w:szCs w:val="32"/>
        </w:rPr>
        <w:t>15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个二级指标的评分情况如下：</w:t>
      </w:r>
      <w:r>
        <w:rPr>
          <w:rFonts w:ascii="Times New Roman" w:eastAsia="方正楷体_GBK" w:hAnsi="Times New Roman"/>
          <w:b/>
          <w:color w:val="000000" w:themeColor="text1"/>
          <w:sz w:val="32"/>
          <w:szCs w:val="32"/>
        </w:rPr>
        <w:br w:type="page"/>
      </w:r>
    </w:p>
    <w:p w:rsidR="0010460A" w:rsidRDefault="00733AE9">
      <w:pPr>
        <w:spacing w:beforeLines="30" w:before="93" w:afterLines="30" w:after="93" w:line="560" w:lineRule="exact"/>
        <w:ind w:firstLineChars="200" w:firstLine="643"/>
        <w:outlineLvl w:val="1"/>
        <w:rPr>
          <w:rFonts w:ascii="Times New Roman" w:eastAsia="方正楷体_GBK" w:hAnsi="Times New Roman"/>
          <w:b/>
          <w:color w:val="000000" w:themeColor="text1"/>
          <w:sz w:val="32"/>
          <w:szCs w:val="32"/>
        </w:rPr>
      </w:pPr>
      <w:r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lastRenderedPageBreak/>
        <w:t>（一）试卷命题</w:t>
      </w:r>
    </w:p>
    <w:p w:rsidR="0010460A" w:rsidRDefault="00733AE9">
      <w:pPr>
        <w:spacing w:line="560" w:lineRule="exact"/>
        <w:ind w:firstLineChars="200" w:firstLine="643"/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hint="eastAsia"/>
          <w:b/>
          <w:bCs/>
          <w:color w:val="000000" w:themeColor="text1"/>
          <w:sz w:val="32"/>
          <w:szCs w:val="32"/>
        </w:rPr>
        <w:t>1</w:t>
      </w:r>
      <w:r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  <w:t>.</w:t>
      </w:r>
      <w:r>
        <w:rPr>
          <w:rFonts w:ascii="Times New Roman" w:eastAsia="方正仿宋_GBK" w:hAnsi="Times New Roman" w:hint="eastAsia"/>
          <w:b/>
          <w:bCs/>
          <w:color w:val="000000" w:themeColor="text1"/>
          <w:sz w:val="32"/>
          <w:szCs w:val="32"/>
        </w:rPr>
        <w:t>考核方式符合教学大纲情况</w:t>
      </w:r>
    </w:p>
    <w:p w:rsidR="0010460A" w:rsidRDefault="00813530">
      <w:pPr>
        <w:jc w:val="center"/>
        <w:rPr>
          <w:rFonts w:ascii="Times New Roman" w:eastAsia="仿宋" w:hAnsi="Times New Roman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550A608D" wp14:editId="34A51C5F">
            <wp:extent cx="5524500" cy="5305425"/>
            <wp:effectExtent l="0" t="0" r="0" b="9525"/>
            <wp:docPr id="2" name="图表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0460A" w:rsidRDefault="00733AE9">
      <w:pPr>
        <w:spacing w:afterLines="50" w:after="156" w:line="400" w:lineRule="exact"/>
        <w:jc w:val="center"/>
        <w:rPr>
          <w:rFonts w:ascii="Times New Roman" w:eastAsia="方正黑体_GBK" w:hAnsi="Times New Roman"/>
          <w:color w:val="000000" w:themeColor="text1"/>
          <w:sz w:val="24"/>
        </w:rPr>
      </w:pPr>
      <w:r>
        <w:rPr>
          <w:rFonts w:ascii="Times New Roman" w:eastAsia="方正黑体_GBK" w:hAnsi="Times New Roman" w:hint="eastAsia"/>
          <w:color w:val="000000" w:themeColor="text1"/>
          <w:sz w:val="24"/>
        </w:rPr>
        <w:t>图</w:t>
      </w:r>
      <w:r>
        <w:rPr>
          <w:rFonts w:ascii="Times New Roman" w:eastAsia="方正黑体_GBK" w:hAnsi="Times New Roman"/>
          <w:color w:val="000000" w:themeColor="text1"/>
          <w:sz w:val="24"/>
        </w:rPr>
        <w:t xml:space="preserve">2  </w:t>
      </w:r>
      <w:bookmarkStart w:id="2" w:name="_Hlk144650486"/>
      <w:r>
        <w:rPr>
          <w:rFonts w:ascii="Times New Roman" w:eastAsia="方正黑体_GBK" w:hAnsi="Times New Roman" w:hint="eastAsia"/>
          <w:color w:val="000000" w:themeColor="text1"/>
          <w:sz w:val="24"/>
        </w:rPr>
        <w:t>考核方式符合教学大纲</w:t>
      </w:r>
      <w:bookmarkEnd w:id="2"/>
      <w:r>
        <w:rPr>
          <w:rFonts w:ascii="Times New Roman" w:eastAsia="方正黑体_GBK" w:hAnsi="Times New Roman" w:hint="eastAsia"/>
          <w:color w:val="000000" w:themeColor="text1"/>
          <w:sz w:val="24"/>
        </w:rPr>
        <w:t>检查得分</w:t>
      </w:r>
    </w:p>
    <w:p w:rsidR="0010460A" w:rsidRDefault="00733AE9">
      <w:pPr>
        <w:spacing w:line="460" w:lineRule="exact"/>
        <w:ind w:firstLineChars="200" w:firstLine="560"/>
        <w:rPr>
          <w:rFonts w:ascii="Times New Roman" w:eastAsia="仿宋" w:hAnsi="Times New Roman"/>
          <w:color w:val="000000" w:themeColor="text1"/>
          <w:sz w:val="28"/>
          <w:szCs w:val="32"/>
        </w:rPr>
      </w:pPr>
      <w:r>
        <w:rPr>
          <w:rFonts w:ascii="Times New Roman" w:eastAsia="仿宋" w:hAnsi="Times New Roman" w:hint="eastAsia"/>
          <w:color w:val="000000" w:themeColor="text1"/>
          <w:sz w:val="28"/>
          <w:szCs w:val="32"/>
        </w:rPr>
        <w:t>注：检查小组评分有</w:t>
      </w:r>
      <w:r>
        <w:rPr>
          <w:rFonts w:ascii="Times New Roman" w:eastAsia="仿宋" w:hAnsi="Times New Roman"/>
          <w:color w:val="000000" w:themeColor="text1"/>
          <w:sz w:val="28"/>
          <w:szCs w:val="32"/>
        </w:rPr>
        <w:t>A</w:t>
      </w:r>
      <w:r>
        <w:rPr>
          <w:rFonts w:ascii="Times New Roman" w:eastAsia="仿宋" w:hAnsi="Times New Roman" w:hint="eastAsia"/>
          <w:color w:val="000000" w:themeColor="text1"/>
          <w:sz w:val="28"/>
          <w:szCs w:val="32"/>
        </w:rPr>
        <w:t>、</w:t>
      </w:r>
      <w:r>
        <w:rPr>
          <w:rFonts w:ascii="Times New Roman" w:eastAsia="仿宋" w:hAnsi="Times New Roman" w:hint="eastAsia"/>
          <w:color w:val="000000" w:themeColor="text1"/>
          <w:sz w:val="28"/>
          <w:szCs w:val="32"/>
        </w:rPr>
        <w:t>B</w:t>
      </w:r>
      <w:r>
        <w:rPr>
          <w:rFonts w:ascii="Times New Roman" w:eastAsia="仿宋" w:hAnsi="Times New Roman" w:hint="eastAsia"/>
          <w:color w:val="000000" w:themeColor="text1"/>
          <w:sz w:val="28"/>
          <w:szCs w:val="32"/>
        </w:rPr>
        <w:t>、</w:t>
      </w:r>
      <w:r>
        <w:rPr>
          <w:rFonts w:ascii="Times New Roman" w:eastAsia="仿宋" w:hAnsi="Times New Roman" w:hint="eastAsia"/>
          <w:color w:val="000000" w:themeColor="text1"/>
          <w:sz w:val="28"/>
          <w:szCs w:val="32"/>
        </w:rPr>
        <w:t>C</w:t>
      </w:r>
      <w:r>
        <w:rPr>
          <w:rFonts w:ascii="Times New Roman" w:eastAsia="仿宋" w:hAnsi="Times New Roman" w:hint="eastAsia"/>
          <w:color w:val="000000" w:themeColor="text1"/>
          <w:sz w:val="28"/>
          <w:szCs w:val="32"/>
        </w:rPr>
        <w:t>、</w:t>
      </w:r>
      <w:r>
        <w:rPr>
          <w:rFonts w:ascii="Times New Roman" w:eastAsia="仿宋" w:hAnsi="Times New Roman" w:hint="eastAsia"/>
          <w:color w:val="000000" w:themeColor="text1"/>
          <w:sz w:val="28"/>
          <w:szCs w:val="32"/>
        </w:rPr>
        <w:t>D</w:t>
      </w:r>
      <w:r>
        <w:rPr>
          <w:rFonts w:ascii="Times New Roman" w:eastAsia="仿宋" w:hAnsi="Times New Roman" w:hint="eastAsia"/>
          <w:color w:val="000000" w:themeColor="text1"/>
          <w:sz w:val="28"/>
          <w:szCs w:val="32"/>
        </w:rPr>
        <w:t>四个选项，分别取</w:t>
      </w:r>
      <w:r>
        <w:rPr>
          <w:rFonts w:ascii="Times New Roman" w:eastAsia="仿宋" w:hAnsi="Times New Roman"/>
          <w:color w:val="000000" w:themeColor="text1"/>
          <w:sz w:val="28"/>
          <w:szCs w:val="32"/>
        </w:rPr>
        <w:t>100</w:t>
      </w:r>
      <w:r>
        <w:rPr>
          <w:rFonts w:ascii="Times New Roman" w:eastAsia="仿宋" w:hAnsi="Times New Roman" w:hint="eastAsia"/>
          <w:color w:val="000000" w:themeColor="text1"/>
          <w:sz w:val="28"/>
          <w:szCs w:val="32"/>
        </w:rPr>
        <w:t>、</w:t>
      </w:r>
      <w:r>
        <w:rPr>
          <w:rFonts w:ascii="Times New Roman" w:eastAsia="仿宋" w:hAnsi="Times New Roman"/>
          <w:color w:val="000000" w:themeColor="text1"/>
          <w:sz w:val="28"/>
          <w:szCs w:val="32"/>
        </w:rPr>
        <w:t>80</w:t>
      </w:r>
      <w:r>
        <w:rPr>
          <w:rFonts w:ascii="Times New Roman" w:eastAsia="仿宋" w:hAnsi="Times New Roman" w:hint="eastAsia"/>
          <w:color w:val="000000" w:themeColor="text1"/>
          <w:sz w:val="28"/>
          <w:szCs w:val="32"/>
        </w:rPr>
        <w:t>、</w:t>
      </w:r>
      <w:r>
        <w:rPr>
          <w:rFonts w:ascii="Times New Roman" w:eastAsia="仿宋" w:hAnsi="Times New Roman" w:hint="eastAsia"/>
          <w:color w:val="000000" w:themeColor="text1"/>
          <w:sz w:val="28"/>
          <w:szCs w:val="32"/>
        </w:rPr>
        <w:t>6</w:t>
      </w:r>
      <w:r>
        <w:rPr>
          <w:rFonts w:ascii="Times New Roman" w:eastAsia="仿宋" w:hAnsi="Times New Roman"/>
          <w:color w:val="000000" w:themeColor="text1"/>
          <w:sz w:val="28"/>
          <w:szCs w:val="32"/>
        </w:rPr>
        <w:t>0</w:t>
      </w:r>
      <w:r>
        <w:rPr>
          <w:rFonts w:ascii="Times New Roman" w:eastAsia="仿宋" w:hAnsi="Times New Roman" w:hint="eastAsia"/>
          <w:color w:val="000000" w:themeColor="text1"/>
          <w:sz w:val="28"/>
          <w:szCs w:val="32"/>
        </w:rPr>
        <w:t>、</w:t>
      </w:r>
      <w:r>
        <w:rPr>
          <w:rFonts w:ascii="Times New Roman" w:eastAsia="仿宋" w:hAnsi="Times New Roman"/>
          <w:color w:val="000000" w:themeColor="text1"/>
          <w:sz w:val="28"/>
          <w:szCs w:val="32"/>
        </w:rPr>
        <w:t>30</w:t>
      </w:r>
      <w:r>
        <w:rPr>
          <w:rFonts w:ascii="Times New Roman" w:eastAsia="仿宋" w:hAnsi="Times New Roman" w:hint="eastAsia"/>
          <w:color w:val="000000" w:themeColor="text1"/>
          <w:sz w:val="28"/>
          <w:szCs w:val="32"/>
        </w:rPr>
        <w:t>分，然后再根据各小组评分差异进行加权，下同。</w:t>
      </w:r>
    </w:p>
    <w:p w:rsidR="00813530" w:rsidRDefault="00733AE9">
      <w:pPr>
        <w:spacing w:line="560" w:lineRule="exact"/>
        <w:ind w:firstLineChars="200" w:firstLine="640"/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从检查情况来看，大部分院部的课程考核方式与课程教学大纲中确定的考核方式一致。</w:t>
      </w:r>
    </w:p>
    <w:p w:rsidR="00FB3379" w:rsidRDefault="00FB3379">
      <w:pPr>
        <w:widowControl/>
        <w:jc w:val="left"/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  <w:br w:type="page"/>
      </w:r>
    </w:p>
    <w:p w:rsidR="0010460A" w:rsidRDefault="00733AE9">
      <w:pPr>
        <w:spacing w:line="560" w:lineRule="exact"/>
        <w:ind w:firstLineChars="200" w:firstLine="643"/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  <w:lastRenderedPageBreak/>
        <w:t>2.</w:t>
      </w:r>
      <w:r>
        <w:rPr>
          <w:rFonts w:ascii="Times New Roman" w:eastAsia="方正仿宋_GBK" w:hAnsi="Times New Roman" w:hint="eastAsia"/>
          <w:b/>
          <w:bCs/>
          <w:color w:val="000000" w:themeColor="text1"/>
          <w:sz w:val="32"/>
          <w:szCs w:val="32"/>
        </w:rPr>
        <w:t>考核内容符合教学大纲情况</w:t>
      </w:r>
    </w:p>
    <w:p w:rsidR="0010460A" w:rsidRDefault="00C65558">
      <w:pPr>
        <w:ind w:firstLineChars="67" w:firstLine="141"/>
        <w:jc w:val="center"/>
        <w:rPr>
          <w:rFonts w:ascii="Times New Roman" w:eastAsia="仿宋" w:hAnsi="Times New Roman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397654C6" wp14:editId="1AB0432D">
            <wp:extent cx="5771408" cy="6080167"/>
            <wp:effectExtent l="0" t="0" r="1270" b="15875"/>
            <wp:docPr id="16" name="图表 1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0460A" w:rsidRDefault="00733AE9">
      <w:pPr>
        <w:spacing w:beforeLines="50" w:before="156" w:afterLines="50" w:after="156" w:line="400" w:lineRule="exact"/>
        <w:jc w:val="center"/>
        <w:rPr>
          <w:rFonts w:ascii="Times New Roman" w:eastAsia="方正黑体_GBK" w:hAnsi="Times New Roman"/>
          <w:color w:val="000000" w:themeColor="text1"/>
          <w:sz w:val="24"/>
        </w:rPr>
      </w:pPr>
      <w:r>
        <w:rPr>
          <w:rFonts w:ascii="Times New Roman" w:eastAsia="方正黑体_GBK" w:hAnsi="Times New Roman" w:hint="eastAsia"/>
          <w:color w:val="000000" w:themeColor="text1"/>
          <w:sz w:val="24"/>
        </w:rPr>
        <w:t>图</w:t>
      </w:r>
      <w:r>
        <w:rPr>
          <w:rFonts w:ascii="Times New Roman" w:eastAsia="方正黑体_GBK" w:hAnsi="Times New Roman"/>
          <w:color w:val="000000" w:themeColor="text1"/>
          <w:sz w:val="24"/>
        </w:rPr>
        <w:t xml:space="preserve">3  </w:t>
      </w:r>
      <w:bookmarkStart w:id="3" w:name="_Hlk144650446"/>
      <w:r>
        <w:rPr>
          <w:rFonts w:ascii="Times New Roman" w:eastAsia="方正黑体_GBK" w:hAnsi="Times New Roman" w:hint="eastAsia"/>
          <w:color w:val="000000" w:themeColor="text1"/>
          <w:sz w:val="24"/>
        </w:rPr>
        <w:t>考核内容符合教学大纲</w:t>
      </w:r>
      <w:bookmarkEnd w:id="3"/>
      <w:r>
        <w:rPr>
          <w:rFonts w:ascii="Times New Roman" w:eastAsia="方正黑体_GBK" w:hAnsi="Times New Roman" w:hint="eastAsia"/>
          <w:color w:val="000000" w:themeColor="text1"/>
          <w:sz w:val="24"/>
        </w:rPr>
        <w:t>检查得分</w:t>
      </w:r>
    </w:p>
    <w:p w:rsidR="0010460A" w:rsidRDefault="00733AE9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从检查情况来看，大部分院部在考核内容上基本符合教学大纲要求，包括覆盖范围，课程目标，分值分布等。</w:t>
      </w:r>
    </w:p>
    <w:p w:rsidR="00C65558" w:rsidRDefault="00C65558">
      <w:pPr>
        <w:widowControl/>
        <w:jc w:val="left"/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  <w:br w:type="page"/>
      </w:r>
    </w:p>
    <w:p w:rsidR="0010460A" w:rsidRDefault="00733AE9">
      <w:pPr>
        <w:spacing w:line="560" w:lineRule="exact"/>
        <w:ind w:firstLineChars="200" w:firstLine="643"/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  <w:lastRenderedPageBreak/>
        <w:t>3.</w:t>
      </w:r>
      <w:r>
        <w:rPr>
          <w:rFonts w:ascii="Times New Roman" w:eastAsia="方正仿宋_GBK" w:hAnsi="Times New Roman" w:hint="eastAsia"/>
          <w:b/>
          <w:bCs/>
          <w:color w:val="000000" w:themeColor="text1"/>
          <w:sz w:val="32"/>
          <w:szCs w:val="32"/>
        </w:rPr>
        <w:t>试卷题型题量情况</w:t>
      </w:r>
    </w:p>
    <w:p w:rsidR="0010460A" w:rsidRDefault="0075028F">
      <w:pPr>
        <w:ind w:leftChars="-135" w:hangingChars="135" w:hanging="283"/>
        <w:jc w:val="center"/>
        <w:rPr>
          <w:rFonts w:ascii="Times New Roman" w:eastAsia="仿宋" w:hAnsi="Times New Roman"/>
          <w:color w:val="000000" w:themeColor="text1"/>
          <w:sz w:val="28"/>
          <w:szCs w:val="32"/>
        </w:rPr>
      </w:pPr>
      <w:r>
        <w:rPr>
          <w:noProof/>
        </w:rPr>
        <w:drawing>
          <wp:inline distT="0" distB="0" distL="0" distR="0" wp14:anchorId="0892FC82" wp14:editId="4B19D878">
            <wp:extent cx="5747657" cy="6210795"/>
            <wp:effectExtent l="0" t="0" r="5715" b="0"/>
            <wp:docPr id="22" name="图表 2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0460A" w:rsidRDefault="00733AE9">
      <w:pPr>
        <w:spacing w:afterLines="50" w:after="156" w:line="400" w:lineRule="exact"/>
        <w:jc w:val="center"/>
        <w:rPr>
          <w:rFonts w:ascii="Times New Roman" w:eastAsia="方正黑体_GBK" w:hAnsi="Times New Roman"/>
          <w:color w:val="000000" w:themeColor="text1"/>
          <w:sz w:val="24"/>
        </w:rPr>
      </w:pPr>
      <w:r>
        <w:rPr>
          <w:rFonts w:ascii="Times New Roman" w:eastAsia="方正黑体_GBK" w:hAnsi="Times New Roman" w:hint="eastAsia"/>
          <w:color w:val="000000" w:themeColor="text1"/>
          <w:sz w:val="24"/>
        </w:rPr>
        <w:t>图</w:t>
      </w:r>
      <w:r>
        <w:rPr>
          <w:rFonts w:ascii="Times New Roman" w:eastAsia="方正黑体_GBK" w:hAnsi="Times New Roman"/>
          <w:color w:val="000000" w:themeColor="text1"/>
          <w:sz w:val="24"/>
        </w:rPr>
        <w:t xml:space="preserve">4  </w:t>
      </w:r>
      <w:bookmarkStart w:id="4" w:name="_Hlk144650394"/>
      <w:r>
        <w:rPr>
          <w:rFonts w:ascii="Times New Roman" w:eastAsia="方正黑体_GBK" w:hAnsi="Times New Roman" w:hint="eastAsia"/>
          <w:color w:val="000000" w:themeColor="text1"/>
          <w:sz w:val="24"/>
        </w:rPr>
        <w:t>试卷题型题量</w:t>
      </w:r>
      <w:bookmarkEnd w:id="4"/>
      <w:r>
        <w:rPr>
          <w:rFonts w:ascii="Times New Roman" w:eastAsia="方正黑体_GBK" w:hAnsi="Times New Roman" w:hint="eastAsia"/>
          <w:color w:val="000000" w:themeColor="text1"/>
          <w:sz w:val="24"/>
        </w:rPr>
        <w:t>检查得分</w:t>
      </w:r>
    </w:p>
    <w:p w:rsidR="0010460A" w:rsidRDefault="00733AE9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从检查情况来看，多数院部试卷题型合理，题量适中。</w:t>
      </w:r>
    </w:p>
    <w:p w:rsidR="0010460A" w:rsidRDefault="00733AE9">
      <w:pPr>
        <w:widowControl/>
        <w:jc w:val="left"/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  <w:br w:type="page"/>
      </w:r>
    </w:p>
    <w:p w:rsidR="0010460A" w:rsidRDefault="00733AE9">
      <w:pPr>
        <w:spacing w:line="560" w:lineRule="exact"/>
        <w:ind w:firstLineChars="200" w:firstLine="643"/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  <w:lastRenderedPageBreak/>
        <w:t>4.</w:t>
      </w:r>
      <w:r>
        <w:rPr>
          <w:rFonts w:ascii="Times New Roman" w:eastAsia="方正仿宋_GBK" w:hAnsi="Times New Roman" w:hint="eastAsia"/>
          <w:b/>
          <w:bCs/>
          <w:color w:val="000000" w:themeColor="text1"/>
          <w:sz w:val="32"/>
          <w:szCs w:val="32"/>
        </w:rPr>
        <w:t>试卷出题质量情况</w:t>
      </w:r>
    </w:p>
    <w:p w:rsidR="0010460A" w:rsidRDefault="002A6D8B">
      <w:pPr>
        <w:jc w:val="center"/>
        <w:rPr>
          <w:rFonts w:ascii="Times New Roman" w:eastAsia="仿宋" w:hAnsi="Times New Roman"/>
          <w:color w:val="000000" w:themeColor="text1"/>
          <w:sz w:val="28"/>
          <w:szCs w:val="32"/>
        </w:rPr>
      </w:pPr>
      <w:r>
        <w:rPr>
          <w:noProof/>
        </w:rPr>
        <w:drawing>
          <wp:inline distT="0" distB="0" distL="0" distR="0" wp14:anchorId="40113DF0" wp14:editId="3456DFD6">
            <wp:extent cx="5783283" cy="6282046"/>
            <wp:effectExtent l="0" t="0" r="8255" b="5080"/>
            <wp:docPr id="23" name="图表 2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B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0460A" w:rsidRDefault="00733AE9">
      <w:pPr>
        <w:spacing w:beforeLines="50" w:before="156" w:afterLines="50" w:after="156" w:line="400" w:lineRule="exact"/>
        <w:jc w:val="center"/>
        <w:rPr>
          <w:rFonts w:ascii="Times New Roman" w:eastAsia="方正黑体_GBK" w:hAnsi="Times New Roman"/>
          <w:color w:val="000000" w:themeColor="text1"/>
          <w:sz w:val="24"/>
        </w:rPr>
      </w:pPr>
      <w:r>
        <w:rPr>
          <w:rFonts w:ascii="Times New Roman" w:eastAsia="方正黑体_GBK" w:hAnsi="Times New Roman" w:hint="eastAsia"/>
          <w:color w:val="000000" w:themeColor="text1"/>
          <w:sz w:val="24"/>
        </w:rPr>
        <w:t>图</w:t>
      </w:r>
      <w:r>
        <w:rPr>
          <w:rFonts w:ascii="Times New Roman" w:eastAsia="方正黑体_GBK" w:hAnsi="Times New Roman"/>
          <w:color w:val="000000" w:themeColor="text1"/>
          <w:sz w:val="24"/>
        </w:rPr>
        <w:t xml:space="preserve">5  </w:t>
      </w:r>
      <w:bookmarkStart w:id="5" w:name="_Hlk144650379"/>
      <w:r>
        <w:rPr>
          <w:rFonts w:ascii="Times New Roman" w:eastAsia="方正黑体_GBK" w:hAnsi="Times New Roman" w:hint="eastAsia"/>
          <w:color w:val="000000" w:themeColor="text1"/>
          <w:sz w:val="24"/>
        </w:rPr>
        <w:t>试题、参考答案及评分标准</w:t>
      </w:r>
      <w:bookmarkEnd w:id="5"/>
      <w:r>
        <w:rPr>
          <w:rFonts w:ascii="Times New Roman" w:eastAsia="方正黑体_GBK" w:hAnsi="Times New Roman" w:hint="eastAsia"/>
          <w:color w:val="000000" w:themeColor="text1"/>
          <w:sz w:val="24"/>
        </w:rPr>
        <w:t>检查得分</w:t>
      </w:r>
    </w:p>
    <w:p w:rsidR="0010460A" w:rsidRDefault="00733AE9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从检查情况来看，多数院部试题文字表述准确、严谨、简洁，插图工整、清楚，参考答案及评分标准合理、详细。</w:t>
      </w:r>
    </w:p>
    <w:p w:rsidR="0010460A" w:rsidRDefault="00733AE9">
      <w:pPr>
        <w:spacing w:line="560" w:lineRule="exact"/>
        <w:ind w:firstLineChars="200" w:firstLine="643"/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  <w:lastRenderedPageBreak/>
        <w:t>5.</w:t>
      </w:r>
      <w:r>
        <w:rPr>
          <w:rFonts w:ascii="Times New Roman" w:eastAsia="方正仿宋_GBK" w:hAnsi="Times New Roman" w:hint="eastAsia"/>
          <w:b/>
          <w:bCs/>
          <w:color w:val="000000" w:themeColor="text1"/>
          <w:sz w:val="32"/>
          <w:szCs w:val="32"/>
        </w:rPr>
        <w:t xml:space="preserve"> A</w:t>
      </w:r>
      <w:r>
        <w:rPr>
          <w:rFonts w:ascii="Times New Roman" w:eastAsia="方正仿宋_GBK" w:hAnsi="Times New Roman" w:hint="eastAsia"/>
          <w:b/>
          <w:bCs/>
          <w:color w:val="000000" w:themeColor="text1"/>
          <w:sz w:val="32"/>
          <w:szCs w:val="32"/>
        </w:rPr>
        <w:t>、</w:t>
      </w:r>
      <w:r>
        <w:rPr>
          <w:rFonts w:ascii="Times New Roman" w:eastAsia="方正仿宋_GBK" w:hAnsi="Times New Roman" w:hint="eastAsia"/>
          <w:b/>
          <w:bCs/>
          <w:color w:val="000000" w:themeColor="text1"/>
          <w:sz w:val="32"/>
          <w:szCs w:val="32"/>
        </w:rPr>
        <w:t>B</w:t>
      </w:r>
      <w:r>
        <w:rPr>
          <w:rFonts w:ascii="Times New Roman" w:eastAsia="方正仿宋_GBK" w:hAnsi="Times New Roman" w:hint="eastAsia"/>
          <w:b/>
          <w:bCs/>
          <w:color w:val="000000" w:themeColor="text1"/>
          <w:sz w:val="32"/>
          <w:szCs w:val="32"/>
        </w:rPr>
        <w:t>试卷重复情况</w:t>
      </w:r>
    </w:p>
    <w:p w:rsidR="0010460A" w:rsidRDefault="00846E0E">
      <w:pPr>
        <w:jc w:val="center"/>
        <w:rPr>
          <w:rFonts w:ascii="Times New Roman" w:eastAsia="仿宋" w:hAnsi="Times New Roman"/>
          <w:color w:val="000000" w:themeColor="text1"/>
          <w:sz w:val="28"/>
          <w:szCs w:val="32"/>
        </w:rPr>
      </w:pPr>
      <w:r>
        <w:rPr>
          <w:noProof/>
        </w:rPr>
        <w:drawing>
          <wp:inline distT="0" distB="0" distL="0" distR="0" wp14:anchorId="5424941A" wp14:editId="521389B4">
            <wp:extent cx="5640779" cy="6092041"/>
            <wp:effectExtent l="0" t="0" r="17145" b="4445"/>
            <wp:docPr id="25" name="图表 2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C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0460A" w:rsidRDefault="00733AE9">
      <w:pPr>
        <w:spacing w:beforeLines="50" w:before="156" w:afterLines="50" w:after="156" w:line="400" w:lineRule="exact"/>
        <w:jc w:val="center"/>
        <w:rPr>
          <w:rFonts w:ascii="Times New Roman" w:eastAsia="方正黑体_GBK" w:hAnsi="Times New Roman"/>
          <w:color w:val="000000" w:themeColor="text1"/>
          <w:sz w:val="24"/>
        </w:rPr>
      </w:pPr>
      <w:r>
        <w:rPr>
          <w:rFonts w:ascii="Times New Roman" w:eastAsia="方正黑体_GBK" w:hAnsi="Times New Roman" w:hint="eastAsia"/>
          <w:color w:val="000000" w:themeColor="text1"/>
          <w:sz w:val="24"/>
        </w:rPr>
        <w:t>图</w:t>
      </w:r>
      <w:r>
        <w:rPr>
          <w:rFonts w:ascii="Times New Roman" w:eastAsia="方正黑体_GBK" w:hAnsi="Times New Roman"/>
          <w:color w:val="000000" w:themeColor="text1"/>
          <w:sz w:val="24"/>
        </w:rPr>
        <w:t xml:space="preserve">6  </w:t>
      </w:r>
      <w:r>
        <w:rPr>
          <w:rFonts w:ascii="Times New Roman" w:eastAsia="方正黑体_GBK" w:hAnsi="Times New Roman" w:hint="eastAsia"/>
          <w:color w:val="000000" w:themeColor="text1"/>
          <w:sz w:val="24"/>
        </w:rPr>
        <w:t>A</w:t>
      </w:r>
      <w:r>
        <w:rPr>
          <w:rFonts w:ascii="Times New Roman" w:eastAsia="方正黑体_GBK" w:hAnsi="Times New Roman" w:hint="eastAsia"/>
          <w:color w:val="000000" w:themeColor="text1"/>
          <w:sz w:val="24"/>
        </w:rPr>
        <w:t>、</w:t>
      </w:r>
      <w:r>
        <w:rPr>
          <w:rFonts w:ascii="Times New Roman" w:eastAsia="方正黑体_GBK" w:hAnsi="Times New Roman" w:hint="eastAsia"/>
          <w:color w:val="000000" w:themeColor="text1"/>
          <w:sz w:val="24"/>
        </w:rPr>
        <w:t>B</w:t>
      </w:r>
      <w:r>
        <w:rPr>
          <w:rFonts w:ascii="Times New Roman" w:eastAsia="方正黑体_GBK" w:hAnsi="Times New Roman" w:hint="eastAsia"/>
          <w:color w:val="000000" w:themeColor="text1"/>
          <w:sz w:val="24"/>
        </w:rPr>
        <w:t>试卷重复检查得分</w:t>
      </w:r>
    </w:p>
    <w:p w:rsidR="0010460A" w:rsidRDefault="00733AE9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从检查情况来看，大部分院部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A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、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B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卷遵循同一命题标准，试题重复率在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3</w:t>
      </w:r>
      <w:r>
        <w:rPr>
          <w:rFonts w:ascii="Times New Roman" w:eastAsia="方正仿宋_GBK" w:hAnsi="Times New Roman"/>
          <w:color w:val="000000" w:themeColor="text1"/>
          <w:sz w:val="32"/>
          <w:szCs w:val="32"/>
        </w:rPr>
        <w:t>0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%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以内。</w:t>
      </w:r>
    </w:p>
    <w:p w:rsidR="00846E0E" w:rsidRDefault="00846E0E">
      <w:pPr>
        <w:widowControl/>
        <w:jc w:val="left"/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  <w:br w:type="page"/>
      </w:r>
    </w:p>
    <w:p w:rsidR="0010460A" w:rsidRDefault="00733AE9">
      <w:pPr>
        <w:spacing w:line="560" w:lineRule="exact"/>
        <w:ind w:firstLineChars="200" w:firstLine="643"/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  <w:lastRenderedPageBreak/>
        <w:t>6.</w:t>
      </w:r>
      <w:r>
        <w:rPr>
          <w:rFonts w:ascii="Times New Roman" w:eastAsia="方正仿宋_GBK" w:hAnsi="Times New Roman" w:hint="eastAsia"/>
          <w:b/>
          <w:bCs/>
          <w:color w:val="000000" w:themeColor="text1"/>
          <w:sz w:val="32"/>
          <w:szCs w:val="32"/>
        </w:rPr>
        <w:t>试卷审批情况</w:t>
      </w:r>
    </w:p>
    <w:p w:rsidR="0010460A" w:rsidRDefault="00846E0E">
      <w:pPr>
        <w:jc w:val="center"/>
        <w:rPr>
          <w:rFonts w:ascii="Times New Roman" w:eastAsia="仿宋" w:hAnsi="Times New Roman"/>
          <w:color w:val="000000" w:themeColor="text1"/>
          <w:sz w:val="28"/>
          <w:szCs w:val="32"/>
        </w:rPr>
      </w:pPr>
      <w:r>
        <w:rPr>
          <w:noProof/>
        </w:rPr>
        <w:drawing>
          <wp:inline distT="0" distB="0" distL="0" distR="0" wp14:anchorId="556CDD03" wp14:editId="3CCD1EAF">
            <wp:extent cx="5628904" cy="5997039"/>
            <wp:effectExtent l="0" t="0" r="10160" b="3810"/>
            <wp:docPr id="29" name="图表 2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0460A" w:rsidRDefault="00733AE9">
      <w:pPr>
        <w:spacing w:beforeLines="50" w:before="156" w:afterLines="50" w:after="156" w:line="400" w:lineRule="exact"/>
        <w:jc w:val="center"/>
        <w:rPr>
          <w:rFonts w:ascii="Times New Roman" w:eastAsia="方正黑体_GBK" w:hAnsi="Times New Roman"/>
          <w:color w:val="000000" w:themeColor="text1"/>
          <w:sz w:val="24"/>
        </w:rPr>
      </w:pPr>
      <w:r>
        <w:rPr>
          <w:rFonts w:ascii="Times New Roman" w:eastAsia="方正黑体_GBK" w:hAnsi="Times New Roman" w:hint="eastAsia"/>
          <w:color w:val="000000" w:themeColor="text1"/>
          <w:sz w:val="24"/>
        </w:rPr>
        <w:t>图</w:t>
      </w:r>
      <w:r>
        <w:rPr>
          <w:rFonts w:ascii="Times New Roman" w:eastAsia="方正黑体_GBK" w:hAnsi="Times New Roman"/>
          <w:color w:val="000000" w:themeColor="text1"/>
          <w:sz w:val="24"/>
        </w:rPr>
        <w:t xml:space="preserve">7  </w:t>
      </w:r>
      <w:bookmarkStart w:id="6" w:name="_Hlk144650289"/>
      <w:r>
        <w:rPr>
          <w:rFonts w:ascii="Times New Roman" w:eastAsia="方正黑体_GBK" w:hAnsi="Times New Roman" w:hint="eastAsia"/>
          <w:color w:val="000000" w:themeColor="text1"/>
          <w:sz w:val="24"/>
        </w:rPr>
        <w:t>试卷审批</w:t>
      </w:r>
      <w:bookmarkEnd w:id="6"/>
      <w:r>
        <w:rPr>
          <w:rFonts w:ascii="Times New Roman" w:eastAsia="方正黑体_GBK" w:hAnsi="Times New Roman" w:hint="eastAsia"/>
          <w:color w:val="000000" w:themeColor="text1"/>
          <w:sz w:val="24"/>
        </w:rPr>
        <w:t>检查得分</w:t>
      </w:r>
    </w:p>
    <w:p w:rsidR="0010460A" w:rsidRDefault="00733AE9">
      <w:pPr>
        <w:spacing w:line="560" w:lineRule="exact"/>
        <w:ind w:firstLineChars="200" w:firstLine="640"/>
        <w:rPr>
          <w:rFonts w:ascii="Times New Roman" w:eastAsia="方正楷体_GBK" w:hAnsi="Times New Roman"/>
          <w:b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从检查情况来看，多数院部试题审批程序规范，审核表格填写完整清楚、有明确具体的审核意见。</w:t>
      </w:r>
      <w:r>
        <w:rPr>
          <w:rFonts w:ascii="Times New Roman" w:eastAsia="方正楷体_GBK" w:hAnsi="Times New Roman"/>
          <w:b/>
          <w:color w:val="000000" w:themeColor="text1"/>
          <w:sz w:val="32"/>
          <w:szCs w:val="32"/>
        </w:rPr>
        <w:br w:type="page"/>
      </w:r>
    </w:p>
    <w:p w:rsidR="0010460A" w:rsidRDefault="00733AE9">
      <w:pPr>
        <w:spacing w:beforeLines="30" w:before="93" w:afterLines="30" w:after="93" w:line="560" w:lineRule="exact"/>
        <w:ind w:firstLineChars="200" w:firstLine="643"/>
        <w:outlineLvl w:val="1"/>
        <w:rPr>
          <w:rFonts w:ascii="Times New Roman" w:eastAsia="方正楷体_GBK" w:hAnsi="Times New Roman"/>
          <w:b/>
          <w:color w:val="000000" w:themeColor="text1"/>
          <w:sz w:val="32"/>
          <w:szCs w:val="32"/>
        </w:rPr>
      </w:pPr>
      <w:r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lastRenderedPageBreak/>
        <w:t>（二）试卷评阅</w:t>
      </w:r>
    </w:p>
    <w:p w:rsidR="0010460A" w:rsidRDefault="00733AE9">
      <w:pPr>
        <w:spacing w:line="560" w:lineRule="exact"/>
        <w:ind w:firstLineChars="200" w:firstLine="643"/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hint="eastAsia"/>
          <w:b/>
          <w:bCs/>
          <w:color w:val="000000" w:themeColor="text1"/>
          <w:sz w:val="32"/>
          <w:szCs w:val="32"/>
        </w:rPr>
        <w:t>1.</w:t>
      </w:r>
      <w:r>
        <w:rPr>
          <w:rFonts w:ascii="Times New Roman" w:eastAsia="方正仿宋_GBK" w:hAnsi="Times New Roman" w:hint="eastAsia"/>
          <w:b/>
          <w:bCs/>
          <w:color w:val="000000" w:themeColor="text1"/>
          <w:sz w:val="32"/>
          <w:szCs w:val="32"/>
        </w:rPr>
        <w:t>试卷评阅公平、公正情况</w:t>
      </w:r>
    </w:p>
    <w:p w:rsidR="0010460A" w:rsidRDefault="006D1C55">
      <w:pPr>
        <w:jc w:val="center"/>
        <w:rPr>
          <w:rFonts w:ascii="Times New Roman" w:eastAsia="仿宋" w:hAnsi="Times New Roman"/>
          <w:color w:val="000000" w:themeColor="text1"/>
          <w:sz w:val="28"/>
          <w:szCs w:val="32"/>
        </w:rPr>
      </w:pPr>
      <w:r>
        <w:rPr>
          <w:noProof/>
        </w:rPr>
        <w:drawing>
          <wp:inline distT="0" distB="0" distL="0" distR="0" wp14:anchorId="3124442F" wp14:editId="2F829430">
            <wp:extent cx="5700155" cy="5462650"/>
            <wp:effectExtent l="0" t="0" r="15240" b="5080"/>
            <wp:docPr id="30" name="图表 3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E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0460A" w:rsidRDefault="00733AE9">
      <w:pPr>
        <w:spacing w:beforeLines="50" w:before="156" w:afterLines="50" w:after="156" w:line="400" w:lineRule="exact"/>
        <w:jc w:val="center"/>
        <w:rPr>
          <w:rFonts w:ascii="Times New Roman" w:eastAsia="方正黑体_GBK" w:hAnsi="Times New Roman"/>
          <w:color w:val="000000" w:themeColor="text1"/>
          <w:sz w:val="24"/>
        </w:rPr>
      </w:pPr>
      <w:r>
        <w:rPr>
          <w:rFonts w:ascii="Times New Roman" w:eastAsia="方正黑体_GBK" w:hAnsi="Times New Roman" w:hint="eastAsia"/>
          <w:color w:val="000000" w:themeColor="text1"/>
          <w:sz w:val="24"/>
        </w:rPr>
        <w:t>图</w:t>
      </w:r>
      <w:r>
        <w:rPr>
          <w:rFonts w:ascii="Times New Roman" w:eastAsia="方正黑体_GBK" w:hAnsi="Times New Roman"/>
          <w:color w:val="000000" w:themeColor="text1"/>
          <w:sz w:val="24"/>
        </w:rPr>
        <w:t xml:space="preserve">8  </w:t>
      </w:r>
      <w:r>
        <w:rPr>
          <w:rFonts w:ascii="Times New Roman" w:eastAsia="方正黑体_GBK" w:hAnsi="Times New Roman" w:hint="eastAsia"/>
          <w:color w:val="000000" w:themeColor="text1"/>
          <w:sz w:val="24"/>
        </w:rPr>
        <w:t>试卷评阅公平、公正检查得分</w:t>
      </w:r>
    </w:p>
    <w:p w:rsidR="0010460A" w:rsidRDefault="00733AE9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从检查情况来看，多数院部能够按照参考答案和评分标准审批，评分公平、公正，</w:t>
      </w:r>
      <w:r w:rsidR="00DB332C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基本上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无错判、漏判，分数记总差错</w:t>
      </w:r>
      <w:r w:rsidR="00DB332C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等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。</w:t>
      </w:r>
    </w:p>
    <w:p w:rsidR="006D1C55" w:rsidRDefault="006D1C55">
      <w:pPr>
        <w:widowControl/>
        <w:jc w:val="left"/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  <w:br w:type="page"/>
      </w:r>
    </w:p>
    <w:p w:rsidR="0010460A" w:rsidRDefault="00733AE9">
      <w:pPr>
        <w:spacing w:line="560" w:lineRule="exact"/>
        <w:ind w:firstLineChars="200" w:firstLine="643"/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  <w:lastRenderedPageBreak/>
        <w:t>2.</w:t>
      </w:r>
      <w:r>
        <w:rPr>
          <w:rFonts w:ascii="Times New Roman" w:eastAsia="方正仿宋_GBK" w:hAnsi="Times New Roman" w:hint="eastAsia"/>
          <w:b/>
          <w:bCs/>
          <w:color w:val="000000" w:themeColor="text1"/>
          <w:sz w:val="32"/>
          <w:szCs w:val="32"/>
        </w:rPr>
        <w:t>试卷评阅计分情况</w:t>
      </w:r>
    </w:p>
    <w:p w:rsidR="0010460A" w:rsidRDefault="00F317AB">
      <w:pPr>
        <w:jc w:val="center"/>
        <w:rPr>
          <w:rFonts w:ascii="Times New Roman" w:eastAsia="仿宋" w:hAnsi="Times New Roman"/>
          <w:color w:val="000000" w:themeColor="text1"/>
          <w:sz w:val="28"/>
          <w:szCs w:val="32"/>
        </w:rPr>
      </w:pPr>
      <w:r>
        <w:rPr>
          <w:noProof/>
        </w:rPr>
        <w:drawing>
          <wp:inline distT="0" distB="0" distL="0" distR="0" wp14:anchorId="54DDCABA" wp14:editId="23E5162C">
            <wp:extent cx="5807033" cy="5937663"/>
            <wp:effectExtent l="0" t="0" r="3810" b="6350"/>
            <wp:docPr id="31" name="图表 3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F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0460A" w:rsidRDefault="00733AE9">
      <w:pPr>
        <w:spacing w:beforeLines="50" w:before="156" w:afterLines="50" w:after="156" w:line="400" w:lineRule="exact"/>
        <w:jc w:val="center"/>
        <w:rPr>
          <w:rFonts w:ascii="Times New Roman" w:eastAsia="方正黑体_GBK" w:hAnsi="Times New Roman"/>
          <w:color w:val="000000" w:themeColor="text1"/>
          <w:sz w:val="24"/>
        </w:rPr>
      </w:pPr>
      <w:r>
        <w:rPr>
          <w:rFonts w:ascii="Times New Roman" w:eastAsia="方正黑体_GBK" w:hAnsi="Times New Roman" w:hint="eastAsia"/>
          <w:color w:val="000000" w:themeColor="text1"/>
          <w:sz w:val="24"/>
        </w:rPr>
        <w:t>图</w:t>
      </w:r>
      <w:r>
        <w:rPr>
          <w:rFonts w:ascii="Times New Roman" w:eastAsia="方正黑体_GBK" w:hAnsi="Times New Roman"/>
          <w:color w:val="000000" w:themeColor="text1"/>
          <w:sz w:val="24"/>
        </w:rPr>
        <w:t xml:space="preserve">9  </w:t>
      </w:r>
      <w:r>
        <w:rPr>
          <w:rFonts w:ascii="Times New Roman" w:eastAsia="方正黑体_GBK" w:hAnsi="Times New Roman" w:hint="eastAsia"/>
          <w:color w:val="000000" w:themeColor="text1"/>
          <w:sz w:val="24"/>
        </w:rPr>
        <w:t>试卷评阅计分检查得分</w:t>
      </w:r>
    </w:p>
    <w:p w:rsidR="0010460A" w:rsidRDefault="00733AE9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从检查情况来看，大部分院部的试卷评分采取一致的计分方式，无正分、负分混合使用的情况。</w:t>
      </w:r>
    </w:p>
    <w:p w:rsidR="00F317AB" w:rsidRDefault="00F317AB">
      <w:pPr>
        <w:widowControl/>
        <w:jc w:val="left"/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  <w:br w:type="page"/>
      </w:r>
    </w:p>
    <w:p w:rsidR="0010460A" w:rsidRDefault="00733AE9">
      <w:pPr>
        <w:spacing w:line="560" w:lineRule="exact"/>
        <w:ind w:firstLineChars="200" w:firstLine="643"/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/>
          <w:b/>
          <w:bCs/>
          <w:color w:val="000000" w:themeColor="text1"/>
          <w:sz w:val="32"/>
          <w:szCs w:val="32"/>
        </w:rPr>
        <w:lastRenderedPageBreak/>
        <w:t>3.</w:t>
      </w:r>
      <w:r>
        <w:rPr>
          <w:rFonts w:ascii="Times New Roman" w:eastAsia="方正仿宋_GBK" w:hAnsi="Times New Roman" w:hint="eastAsia"/>
          <w:b/>
          <w:bCs/>
          <w:color w:val="000000" w:themeColor="text1"/>
          <w:sz w:val="32"/>
          <w:szCs w:val="32"/>
        </w:rPr>
        <w:t>试卷评阅修改规范情况</w:t>
      </w:r>
    </w:p>
    <w:p w:rsidR="0010460A" w:rsidRDefault="00045EF5">
      <w:pPr>
        <w:jc w:val="center"/>
        <w:rPr>
          <w:rFonts w:ascii="Times New Roman" w:eastAsia="仿宋" w:hAnsi="Times New Roman"/>
          <w:color w:val="000000" w:themeColor="text1"/>
          <w:sz w:val="28"/>
          <w:szCs w:val="32"/>
        </w:rPr>
      </w:pPr>
      <w:r>
        <w:rPr>
          <w:noProof/>
        </w:rPr>
        <w:drawing>
          <wp:inline distT="0" distB="0" distL="0" distR="0" wp14:anchorId="37DB0A68" wp14:editId="28ADC116">
            <wp:extent cx="5735781" cy="6056416"/>
            <wp:effectExtent l="0" t="0" r="17780" b="1905"/>
            <wp:docPr id="32" name="图表 3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0460A" w:rsidRDefault="00733AE9">
      <w:pPr>
        <w:spacing w:beforeLines="50" w:before="156" w:afterLines="50" w:after="156" w:line="400" w:lineRule="exact"/>
        <w:jc w:val="center"/>
        <w:rPr>
          <w:rFonts w:ascii="Times New Roman" w:eastAsia="方正黑体_GBK" w:hAnsi="Times New Roman"/>
          <w:color w:val="000000" w:themeColor="text1"/>
          <w:sz w:val="24"/>
        </w:rPr>
      </w:pPr>
      <w:r>
        <w:rPr>
          <w:rFonts w:ascii="Times New Roman" w:eastAsia="方正黑体_GBK" w:hAnsi="Times New Roman" w:hint="eastAsia"/>
          <w:color w:val="000000" w:themeColor="text1"/>
          <w:sz w:val="24"/>
        </w:rPr>
        <w:t>图</w:t>
      </w:r>
      <w:r>
        <w:rPr>
          <w:rFonts w:ascii="Times New Roman" w:eastAsia="方正黑体_GBK" w:hAnsi="Times New Roman"/>
          <w:color w:val="000000" w:themeColor="text1"/>
          <w:sz w:val="24"/>
        </w:rPr>
        <w:t xml:space="preserve">10  </w:t>
      </w:r>
      <w:r>
        <w:rPr>
          <w:rFonts w:ascii="Times New Roman" w:eastAsia="方正黑体_GBK" w:hAnsi="Times New Roman" w:hint="eastAsia"/>
          <w:color w:val="000000" w:themeColor="text1"/>
          <w:sz w:val="24"/>
        </w:rPr>
        <w:t>试卷评阅规范检查得分</w:t>
      </w:r>
    </w:p>
    <w:p w:rsidR="0010460A" w:rsidRDefault="00733AE9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从检查情况来看，大多数院部试卷评阅规范，对分数进行修改的试卷，在分数修处都有签名，程序规范。</w:t>
      </w:r>
    </w:p>
    <w:p w:rsidR="00045EF5" w:rsidRDefault="00045EF5">
      <w:pPr>
        <w:widowControl/>
        <w:jc w:val="left"/>
        <w:rPr>
          <w:rFonts w:ascii="Times New Roman" w:eastAsia="方正楷体_GBK" w:hAnsi="Times New Roman"/>
          <w:b/>
          <w:color w:val="000000" w:themeColor="text1"/>
          <w:sz w:val="32"/>
          <w:szCs w:val="32"/>
        </w:rPr>
      </w:pPr>
      <w:r>
        <w:rPr>
          <w:rFonts w:ascii="Times New Roman" w:eastAsia="方正楷体_GBK" w:hAnsi="Times New Roman"/>
          <w:b/>
          <w:color w:val="000000" w:themeColor="text1"/>
          <w:sz w:val="32"/>
          <w:szCs w:val="32"/>
        </w:rPr>
        <w:br w:type="page"/>
      </w:r>
    </w:p>
    <w:p w:rsidR="0010460A" w:rsidRDefault="00733AE9">
      <w:pPr>
        <w:spacing w:beforeLines="30" w:before="93" w:afterLines="30" w:after="93" w:line="560" w:lineRule="exact"/>
        <w:ind w:firstLineChars="200" w:firstLine="643"/>
        <w:outlineLvl w:val="1"/>
        <w:rPr>
          <w:rFonts w:ascii="Times New Roman" w:eastAsia="方正楷体_GBK" w:hAnsi="Times New Roman"/>
          <w:b/>
          <w:color w:val="000000" w:themeColor="text1"/>
          <w:sz w:val="32"/>
          <w:szCs w:val="32"/>
        </w:rPr>
      </w:pPr>
      <w:r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lastRenderedPageBreak/>
        <w:t>（三）试卷分析情况</w:t>
      </w:r>
    </w:p>
    <w:p w:rsidR="0010460A" w:rsidRDefault="00B24A85">
      <w:pPr>
        <w:jc w:val="center"/>
        <w:rPr>
          <w:rFonts w:ascii="Times New Roman" w:eastAsia="仿宋" w:hAnsi="Times New Roman"/>
          <w:color w:val="000000" w:themeColor="text1"/>
          <w:sz w:val="28"/>
          <w:szCs w:val="32"/>
        </w:rPr>
      </w:pPr>
      <w:r>
        <w:rPr>
          <w:noProof/>
        </w:rPr>
        <w:drawing>
          <wp:inline distT="0" distB="0" distL="0" distR="0" wp14:anchorId="1393496A" wp14:editId="2A523733">
            <wp:extent cx="5688280" cy="5272645"/>
            <wp:effectExtent l="0" t="0" r="8255" b="4445"/>
            <wp:docPr id="33" name="图表 3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0460A" w:rsidRDefault="00733AE9">
      <w:pPr>
        <w:spacing w:beforeLines="50" w:before="156" w:afterLines="50" w:after="156" w:line="400" w:lineRule="exact"/>
        <w:jc w:val="center"/>
        <w:rPr>
          <w:rFonts w:ascii="Times New Roman" w:eastAsia="方正黑体_GBK" w:hAnsi="Times New Roman"/>
          <w:color w:val="000000" w:themeColor="text1"/>
          <w:sz w:val="24"/>
        </w:rPr>
      </w:pPr>
      <w:r>
        <w:rPr>
          <w:rFonts w:ascii="Times New Roman" w:eastAsia="方正黑体_GBK" w:hAnsi="Times New Roman" w:hint="eastAsia"/>
          <w:color w:val="000000" w:themeColor="text1"/>
          <w:sz w:val="24"/>
        </w:rPr>
        <w:t>图</w:t>
      </w:r>
      <w:r>
        <w:rPr>
          <w:rFonts w:ascii="Times New Roman" w:eastAsia="方正黑体_GBK" w:hAnsi="Times New Roman" w:hint="eastAsia"/>
          <w:color w:val="000000" w:themeColor="text1"/>
          <w:sz w:val="24"/>
        </w:rPr>
        <w:t>1</w:t>
      </w:r>
      <w:r>
        <w:rPr>
          <w:rFonts w:ascii="Times New Roman" w:eastAsia="方正黑体_GBK" w:hAnsi="Times New Roman"/>
          <w:color w:val="000000" w:themeColor="text1"/>
          <w:sz w:val="24"/>
        </w:rPr>
        <w:t xml:space="preserve">1  </w:t>
      </w:r>
      <w:r>
        <w:rPr>
          <w:rFonts w:ascii="Times New Roman" w:eastAsia="方正黑体_GBK" w:hAnsi="Times New Roman" w:hint="eastAsia"/>
          <w:color w:val="000000" w:themeColor="text1"/>
          <w:sz w:val="24"/>
        </w:rPr>
        <w:t>试卷分析检查得分</w:t>
      </w:r>
    </w:p>
    <w:p w:rsidR="0010460A" w:rsidRDefault="00733AE9">
      <w:pPr>
        <w:spacing w:line="54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从检查情况来看，多数院部学生成绩分布合理，对考试情况进行定性、定量分析，内容全面、真实、准确，并针对性的提出今后教学改进的建议，已开展认证的专业都有课程目标达成度分析。</w:t>
      </w:r>
    </w:p>
    <w:p w:rsidR="00B24A85" w:rsidRDefault="00B24A85">
      <w:pPr>
        <w:widowControl/>
        <w:jc w:val="left"/>
        <w:rPr>
          <w:rFonts w:ascii="Times New Roman" w:eastAsia="方正楷体_GBK" w:hAnsi="Times New Roman"/>
          <w:b/>
          <w:color w:val="000000" w:themeColor="text1"/>
          <w:sz w:val="32"/>
          <w:szCs w:val="32"/>
        </w:rPr>
      </w:pPr>
      <w:r>
        <w:rPr>
          <w:rFonts w:ascii="Times New Roman" w:eastAsia="方正楷体_GBK" w:hAnsi="Times New Roman"/>
          <w:b/>
          <w:color w:val="000000" w:themeColor="text1"/>
          <w:sz w:val="32"/>
          <w:szCs w:val="32"/>
        </w:rPr>
        <w:br w:type="page"/>
      </w:r>
    </w:p>
    <w:p w:rsidR="0010460A" w:rsidRDefault="00733AE9">
      <w:pPr>
        <w:spacing w:beforeLines="30" w:before="93" w:afterLines="30" w:after="93" w:line="560" w:lineRule="exact"/>
        <w:ind w:firstLineChars="200" w:firstLine="643"/>
        <w:outlineLvl w:val="1"/>
        <w:rPr>
          <w:rFonts w:ascii="Times New Roman" w:eastAsia="方正楷体_GBK" w:hAnsi="Times New Roman"/>
          <w:b/>
          <w:color w:val="000000" w:themeColor="text1"/>
          <w:sz w:val="32"/>
          <w:szCs w:val="32"/>
        </w:rPr>
      </w:pPr>
      <w:r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lastRenderedPageBreak/>
        <w:t>（四）平时成绩评定情况</w:t>
      </w:r>
    </w:p>
    <w:p w:rsidR="0010460A" w:rsidRDefault="00B24A85">
      <w:pPr>
        <w:jc w:val="center"/>
        <w:rPr>
          <w:rFonts w:ascii="Times New Roman" w:eastAsia="仿宋" w:hAnsi="Times New Roman"/>
          <w:color w:val="000000" w:themeColor="text1"/>
          <w:sz w:val="28"/>
          <w:szCs w:val="32"/>
        </w:rPr>
      </w:pPr>
      <w:r>
        <w:rPr>
          <w:noProof/>
        </w:rPr>
        <w:drawing>
          <wp:inline distT="0" distB="0" distL="0" distR="0" wp14:anchorId="175A5D22" wp14:editId="26000870">
            <wp:extent cx="5807033" cy="5973288"/>
            <wp:effectExtent l="0" t="0" r="3810" b="8890"/>
            <wp:docPr id="34" name="图表 3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0460A" w:rsidRDefault="00733AE9">
      <w:pPr>
        <w:spacing w:afterLines="50" w:after="156" w:line="400" w:lineRule="exact"/>
        <w:jc w:val="center"/>
        <w:rPr>
          <w:rFonts w:ascii="Times New Roman" w:eastAsia="方正黑体_GBK" w:hAnsi="Times New Roman"/>
          <w:color w:val="000000" w:themeColor="text1"/>
          <w:sz w:val="24"/>
        </w:rPr>
      </w:pPr>
      <w:r>
        <w:rPr>
          <w:rFonts w:ascii="Times New Roman" w:eastAsia="方正黑体_GBK" w:hAnsi="Times New Roman" w:hint="eastAsia"/>
          <w:color w:val="000000" w:themeColor="text1"/>
          <w:sz w:val="24"/>
        </w:rPr>
        <w:t>图</w:t>
      </w:r>
      <w:r>
        <w:rPr>
          <w:rFonts w:ascii="Times New Roman" w:eastAsia="方正黑体_GBK" w:hAnsi="Times New Roman" w:hint="eastAsia"/>
          <w:color w:val="000000" w:themeColor="text1"/>
          <w:sz w:val="24"/>
        </w:rPr>
        <w:t>1</w:t>
      </w:r>
      <w:r>
        <w:rPr>
          <w:rFonts w:ascii="Times New Roman" w:eastAsia="方正黑体_GBK" w:hAnsi="Times New Roman"/>
          <w:color w:val="000000" w:themeColor="text1"/>
          <w:sz w:val="24"/>
        </w:rPr>
        <w:t xml:space="preserve">2  </w:t>
      </w:r>
      <w:bookmarkStart w:id="7" w:name="_Hlk144649858"/>
      <w:r>
        <w:rPr>
          <w:rFonts w:ascii="Times New Roman" w:eastAsia="方正黑体_GBK" w:hAnsi="Times New Roman" w:hint="eastAsia"/>
          <w:color w:val="000000" w:themeColor="text1"/>
          <w:sz w:val="24"/>
        </w:rPr>
        <w:t>平时成绩评定</w:t>
      </w:r>
      <w:bookmarkEnd w:id="7"/>
      <w:r>
        <w:rPr>
          <w:rFonts w:ascii="Times New Roman" w:eastAsia="方正黑体_GBK" w:hAnsi="Times New Roman" w:hint="eastAsia"/>
          <w:color w:val="000000" w:themeColor="text1"/>
          <w:sz w:val="24"/>
        </w:rPr>
        <w:t>检查得分</w:t>
      </w:r>
    </w:p>
    <w:p w:rsidR="0010460A" w:rsidRDefault="00733AE9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从检查情况来看，多数院部按照教学大纲要求实施过程性考核，有平时成绩考核项目，评定规范，考核严格。</w:t>
      </w:r>
    </w:p>
    <w:p w:rsidR="00B24A85" w:rsidRDefault="00B24A85">
      <w:pPr>
        <w:widowControl/>
        <w:jc w:val="left"/>
        <w:rPr>
          <w:rFonts w:ascii="Times New Roman" w:eastAsia="方正楷体_GBK" w:hAnsi="Times New Roman"/>
          <w:b/>
          <w:color w:val="000000" w:themeColor="text1"/>
          <w:sz w:val="32"/>
          <w:szCs w:val="32"/>
        </w:rPr>
      </w:pPr>
      <w:r>
        <w:rPr>
          <w:rFonts w:ascii="Times New Roman" w:eastAsia="方正楷体_GBK" w:hAnsi="Times New Roman"/>
          <w:b/>
          <w:color w:val="000000" w:themeColor="text1"/>
          <w:sz w:val="32"/>
          <w:szCs w:val="32"/>
        </w:rPr>
        <w:br w:type="page"/>
      </w:r>
    </w:p>
    <w:p w:rsidR="0010460A" w:rsidRDefault="00733AE9">
      <w:pPr>
        <w:spacing w:beforeLines="30" w:before="93" w:afterLines="30" w:after="93" w:line="560" w:lineRule="exact"/>
        <w:ind w:firstLineChars="200" w:firstLine="643"/>
        <w:outlineLvl w:val="1"/>
        <w:rPr>
          <w:rFonts w:ascii="Times New Roman" w:eastAsia="方正楷体_GBK" w:hAnsi="Times New Roman"/>
          <w:b/>
          <w:color w:val="000000" w:themeColor="text1"/>
          <w:sz w:val="32"/>
          <w:szCs w:val="32"/>
        </w:rPr>
      </w:pPr>
      <w:r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lastRenderedPageBreak/>
        <w:t>（五）材料归档</w:t>
      </w:r>
    </w:p>
    <w:p w:rsidR="0010460A" w:rsidRDefault="005C6585">
      <w:pPr>
        <w:jc w:val="center"/>
        <w:rPr>
          <w:rFonts w:ascii="Times New Roman" w:eastAsia="仿宋" w:hAnsi="Times New Roman"/>
          <w:color w:val="000000" w:themeColor="text1"/>
          <w:sz w:val="28"/>
          <w:szCs w:val="32"/>
        </w:rPr>
      </w:pPr>
      <w:r>
        <w:rPr>
          <w:noProof/>
        </w:rPr>
        <w:drawing>
          <wp:inline distT="0" distB="0" distL="0" distR="0" wp14:anchorId="7C5807AA" wp14:editId="269E1525">
            <wp:extent cx="5747657" cy="5866410"/>
            <wp:effectExtent l="0" t="0" r="5715" b="1270"/>
            <wp:docPr id="35" name="图表 3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0460A" w:rsidRDefault="00733AE9">
      <w:pPr>
        <w:spacing w:beforeLines="50" w:before="156" w:afterLines="50" w:after="156" w:line="400" w:lineRule="exact"/>
        <w:jc w:val="center"/>
        <w:rPr>
          <w:rFonts w:ascii="Times New Roman" w:eastAsia="方正黑体_GBK" w:hAnsi="Times New Roman"/>
          <w:color w:val="000000" w:themeColor="text1"/>
          <w:sz w:val="24"/>
        </w:rPr>
      </w:pPr>
      <w:r>
        <w:rPr>
          <w:rFonts w:ascii="Times New Roman" w:eastAsia="方正黑体_GBK" w:hAnsi="Times New Roman" w:hint="eastAsia"/>
          <w:color w:val="000000" w:themeColor="text1"/>
          <w:sz w:val="24"/>
        </w:rPr>
        <w:t>图</w:t>
      </w:r>
      <w:r>
        <w:rPr>
          <w:rFonts w:ascii="Times New Roman" w:eastAsia="方正黑体_GBK" w:hAnsi="Times New Roman" w:hint="eastAsia"/>
          <w:color w:val="000000" w:themeColor="text1"/>
          <w:sz w:val="24"/>
        </w:rPr>
        <w:t>1</w:t>
      </w:r>
      <w:r>
        <w:rPr>
          <w:rFonts w:ascii="Times New Roman" w:eastAsia="方正黑体_GBK" w:hAnsi="Times New Roman"/>
          <w:color w:val="000000" w:themeColor="text1"/>
          <w:sz w:val="24"/>
        </w:rPr>
        <w:t xml:space="preserve">3  </w:t>
      </w:r>
      <w:bookmarkStart w:id="8" w:name="_Hlk144649684"/>
      <w:r>
        <w:rPr>
          <w:rFonts w:ascii="Times New Roman" w:eastAsia="方正黑体_GBK" w:hAnsi="Times New Roman" w:hint="eastAsia"/>
          <w:color w:val="000000" w:themeColor="text1"/>
          <w:sz w:val="24"/>
        </w:rPr>
        <w:t>材料归档</w:t>
      </w:r>
      <w:bookmarkEnd w:id="8"/>
      <w:r>
        <w:rPr>
          <w:rFonts w:ascii="Times New Roman" w:eastAsia="方正黑体_GBK" w:hAnsi="Times New Roman" w:hint="eastAsia"/>
          <w:color w:val="000000" w:themeColor="text1"/>
          <w:sz w:val="24"/>
        </w:rPr>
        <w:t>检查得分</w:t>
      </w:r>
    </w:p>
    <w:p w:rsidR="0010460A" w:rsidRDefault="00733AE9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从检查情况来看，多数院部归档材料齐全，包括学生成绩单、试卷分析、参考答案与评分标准、空白试卷、试卷审核表等。</w:t>
      </w:r>
    </w:p>
    <w:p w:rsidR="005C6585" w:rsidRDefault="005C6585">
      <w:pPr>
        <w:widowControl/>
        <w:jc w:val="left"/>
        <w:rPr>
          <w:rFonts w:ascii="Times New Roman" w:eastAsia="方正楷体_GBK" w:hAnsi="Times New Roman"/>
          <w:b/>
          <w:color w:val="000000" w:themeColor="text1"/>
          <w:sz w:val="32"/>
          <w:szCs w:val="32"/>
        </w:rPr>
      </w:pPr>
      <w:r>
        <w:rPr>
          <w:rFonts w:ascii="Times New Roman" w:eastAsia="方正楷体_GBK" w:hAnsi="Times New Roman"/>
          <w:b/>
          <w:color w:val="000000" w:themeColor="text1"/>
          <w:sz w:val="32"/>
          <w:szCs w:val="32"/>
        </w:rPr>
        <w:br w:type="page"/>
      </w:r>
    </w:p>
    <w:p w:rsidR="0010460A" w:rsidRDefault="00733AE9">
      <w:pPr>
        <w:spacing w:beforeLines="30" w:before="93" w:afterLines="30" w:after="93" w:line="560" w:lineRule="exact"/>
        <w:ind w:firstLineChars="200" w:firstLine="643"/>
        <w:outlineLvl w:val="1"/>
        <w:rPr>
          <w:rFonts w:ascii="Times New Roman" w:eastAsia="方正楷体_GBK" w:hAnsi="Times New Roman"/>
          <w:b/>
          <w:color w:val="000000" w:themeColor="text1"/>
          <w:sz w:val="32"/>
          <w:szCs w:val="32"/>
        </w:rPr>
      </w:pPr>
      <w:r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lastRenderedPageBreak/>
        <w:t>（六）自评自建</w:t>
      </w:r>
    </w:p>
    <w:p w:rsidR="0010460A" w:rsidRDefault="007B0C5E">
      <w:pPr>
        <w:jc w:val="center"/>
        <w:rPr>
          <w:rFonts w:ascii="Times New Roman" w:eastAsia="仿宋" w:hAnsi="Times New Roman"/>
          <w:color w:val="000000" w:themeColor="text1"/>
          <w:sz w:val="28"/>
          <w:szCs w:val="32"/>
        </w:rPr>
      </w:pPr>
      <w:r>
        <w:rPr>
          <w:noProof/>
        </w:rPr>
        <w:drawing>
          <wp:inline distT="0" distB="0" distL="0" distR="0" wp14:anchorId="7248F1EA" wp14:editId="28EAA18D">
            <wp:extent cx="5902036" cy="5913912"/>
            <wp:effectExtent l="0" t="0" r="3810" b="10795"/>
            <wp:docPr id="36" name="图表 3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0460A" w:rsidRDefault="00733AE9">
      <w:pPr>
        <w:spacing w:beforeLines="50" w:before="156" w:afterLines="50" w:after="156" w:line="400" w:lineRule="exact"/>
        <w:jc w:val="center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>
        <w:rPr>
          <w:rFonts w:ascii="Times New Roman" w:eastAsia="方正黑体_GBK" w:hAnsi="Times New Roman" w:hint="eastAsia"/>
          <w:color w:val="000000" w:themeColor="text1"/>
          <w:sz w:val="24"/>
        </w:rPr>
        <w:t>图</w:t>
      </w:r>
      <w:r>
        <w:rPr>
          <w:rFonts w:ascii="Times New Roman" w:eastAsia="方正黑体_GBK" w:hAnsi="Times New Roman" w:hint="eastAsia"/>
          <w:color w:val="000000" w:themeColor="text1"/>
          <w:sz w:val="24"/>
        </w:rPr>
        <w:t>1</w:t>
      </w:r>
      <w:r>
        <w:rPr>
          <w:rFonts w:ascii="Times New Roman" w:eastAsia="方正黑体_GBK" w:hAnsi="Times New Roman"/>
          <w:color w:val="000000" w:themeColor="text1"/>
          <w:sz w:val="24"/>
        </w:rPr>
        <w:t xml:space="preserve">4  </w:t>
      </w:r>
      <w:r>
        <w:rPr>
          <w:rFonts w:ascii="Times New Roman" w:eastAsia="方正黑体_GBK" w:hAnsi="Times New Roman" w:hint="eastAsia"/>
          <w:color w:val="000000" w:themeColor="text1"/>
          <w:sz w:val="24"/>
        </w:rPr>
        <w:t>自评自</w:t>
      </w:r>
      <w:proofErr w:type="gramStart"/>
      <w:r>
        <w:rPr>
          <w:rFonts w:ascii="Times New Roman" w:eastAsia="方正黑体_GBK" w:hAnsi="Times New Roman" w:hint="eastAsia"/>
          <w:color w:val="000000" w:themeColor="text1"/>
          <w:sz w:val="24"/>
        </w:rPr>
        <w:t>建检查</w:t>
      </w:r>
      <w:proofErr w:type="gramEnd"/>
      <w:r>
        <w:rPr>
          <w:rFonts w:ascii="Times New Roman" w:eastAsia="方正黑体_GBK" w:hAnsi="Times New Roman" w:hint="eastAsia"/>
          <w:color w:val="000000" w:themeColor="text1"/>
          <w:sz w:val="24"/>
        </w:rPr>
        <w:t>得分</w:t>
      </w:r>
    </w:p>
    <w:p w:rsidR="0010460A" w:rsidRDefault="00733AE9">
      <w:pPr>
        <w:spacing w:beforeLines="30" w:before="93" w:afterLines="30" w:after="93" w:line="560" w:lineRule="exact"/>
        <w:ind w:firstLineChars="200" w:firstLine="640"/>
        <w:outlineLvl w:val="1"/>
        <w:rPr>
          <w:rFonts w:ascii="Times New Roman" w:eastAsia="方正楷体_GBK" w:hAnsi="Times New Roman"/>
          <w:b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从检查情况来看，多数院部组织试卷的自查情况，提供了支撑材料。院部自评结果与学校检查小组检查结果吻合度较高。</w:t>
      </w:r>
    </w:p>
    <w:p w:rsidR="007B0C5E" w:rsidRDefault="007B0C5E">
      <w:pPr>
        <w:widowControl/>
        <w:jc w:val="left"/>
        <w:rPr>
          <w:rFonts w:ascii="Times New Roman" w:eastAsia="方正楷体_GBK" w:hAnsi="Times New Roman"/>
          <w:b/>
          <w:color w:val="000000" w:themeColor="text1"/>
          <w:sz w:val="32"/>
          <w:szCs w:val="32"/>
        </w:rPr>
      </w:pPr>
      <w:r>
        <w:rPr>
          <w:rFonts w:ascii="Times New Roman" w:eastAsia="方正楷体_GBK" w:hAnsi="Times New Roman"/>
          <w:b/>
          <w:color w:val="000000" w:themeColor="text1"/>
          <w:sz w:val="32"/>
          <w:szCs w:val="32"/>
        </w:rPr>
        <w:br w:type="page"/>
      </w:r>
    </w:p>
    <w:p w:rsidR="0010460A" w:rsidRDefault="00733AE9">
      <w:pPr>
        <w:spacing w:beforeLines="30" w:before="93" w:afterLines="30" w:after="93" w:line="560" w:lineRule="exact"/>
        <w:ind w:firstLineChars="200" w:firstLine="643"/>
        <w:outlineLvl w:val="1"/>
        <w:rPr>
          <w:rFonts w:ascii="Times New Roman" w:eastAsia="方正楷体_GBK" w:hAnsi="Times New Roman"/>
          <w:b/>
          <w:color w:val="000000" w:themeColor="text1"/>
          <w:sz w:val="32"/>
          <w:szCs w:val="32"/>
        </w:rPr>
      </w:pPr>
      <w:r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lastRenderedPageBreak/>
        <w:t>（七）持续改进</w:t>
      </w:r>
    </w:p>
    <w:p w:rsidR="0010460A" w:rsidRDefault="007B0C5E">
      <w:pPr>
        <w:jc w:val="center"/>
        <w:rPr>
          <w:rFonts w:ascii="Times New Roman" w:eastAsia="仿宋" w:hAnsi="Times New Roman"/>
          <w:color w:val="000000" w:themeColor="text1"/>
          <w:sz w:val="28"/>
          <w:szCs w:val="32"/>
        </w:rPr>
      </w:pPr>
      <w:r>
        <w:rPr>
          <w:noProof/>
        </w:rPr>
        <w:drawing>
          <wp:inline distT="0" distB="0" distL="0" distR="0" wp14:anchorId="17C91593" wp14:editId="45837AD8">
            <wp:extent cx="5818909" cy="5486400"/>
            <wp:effectExtent l="0" t="0" r="10795" b="0"/>
            <wp:docPr id="1" name="图表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10460A" w:rsidRDefault="00733AE9">
      <w:pPr>
        <w:spacing w:beforeLines="50" w:before="156" w:afterLines="50" w:after="156" w:line="400" w:lineRule="exact"/>
        <w:jc w:val="center"/>
        <w:rPr>
          <w:rFonts w:ascii="Times New Roman" w:eastAsia="方正黑体_GBK" w:hAnsi="Times New Roman"/>
          <w:color w:val="000000" w:themeColor="text1"/>
          <w:sz w:val="24"/>
        </w:rPr>
      </w:pPr>
      <w:r>
        <w:rPr>
          <w:rFonts w:ascii="Times New Roman" w:eastAsia="方正黑体_GBK" w:hAnsi="Times New Roman" w:hint="eastAsia"/>
          <w:color w:val="000000" w:themeColor="text1"/>
          <w:sz w:val="24"/>
        </w:rPr>
        <w:t>图</w:t>
      </w:r>
      <w:r>
        <w:rPr>
          <w:rFonts w:ascii="Times New Roman" w:eastAsia="方正黑体_GBK" w:hAnsi="Times New Roman" w:hint="eastAsia"/>
          <w:color w:val="000000" w:themeColor="text1"/>
          <w:sz w:val="24"/>
        </w:rPr>
        <w:t>15</w:t>
      </w:r>
      <w:r>
        <w:rPr>
          <w:rFonts w:ascii="Times New Roman" w:eastAsia="方正黑体_GBK" w:hAnsi="Times New Roman"/>
          <w:color w:val="000000" w:themeColor="text1"/>
          <w:sz w:val="24"/>
        </w:rPr>
        <w:t xml:space="preserve">  </w:t>
      </w:r>
      <w:r>
        <w:rPr>
          <w:rFonts w:ascii="Times New Roman" w:eastAsia="方正黑体_GBK" w:hAnsi="Times New Roman" w:hint="eastAsia"/>
          <w:color w:val="000000" w:themeColor="text1"/>
          <w:sz w:val="24"/>
        </w:rPr>
        <w:t>持续改进检查得分</w:t>
      </w:r>
    </w:p>
    <w:p w:rsidR="0010460A" w:rsidRDefault="00733AE9">
      <w:pPr>
        <w:spacing w:beforeLines="30" w:before="93" w:afterLines="30" w:after="93" w:line="580" w:lineRule="exact"/>
        <w:ind w:firstLineChars="200" w:firstLine="640"/>
        <w:outlineLvl w:val="1"/>
        <w:rPr>
          <w:rFonts w:ascii="Times New Roman" w:eastAsia="黑体" w:hAnsi="Times New Roman"/>
          <w:b/>
          <w:color w:val="000000" w:themeColor="text1"/>
          <w:sz w:val="32"/>
          <w:szCs w:val="32"/>
        </w:rPr>
      </w:pPr>
      <w:bookmarkStart w:id="9" w:name="_Toc144888554"/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从检查情况来看，多数院部上一次学校对本院部试卷</w:t>
      </w:r>
      <w:r w:rsidR="00DB332C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自查中发现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问题进行了整改，上一次学校对本院部检查反馈问题的整改效果也较好。</w:t>
      </w:r>
    </w:p>
    <w:p w:rsidR="007B0C5E" w:rsidRDefault="007B0C5E">
      <w:pPr>
        <w:widowControl/>
        <w:jc w:val="left"/>
        <w:rPr>
          <w:rFonts w:ascii="Times New Roman" w:eastAsia="黑体" w:hAnsi="Times New Roman"/>
          <w:b/>
          <w:color w:val="000000" w:themeColor="text1"/>
          <w:sz w:val="32"/>
          <w:szCs w:val="32"/>
        </w:rPr>
      </w:pPr>
      <w:r>
        <w:rPr>
          <w:rFonts w:ascii="Times New Roman" w:eastAsia="黑体" w:hAnsi="Times New Roman"/>
          <w:b/>
          <w:color w:val="000000" w:themeColor="text1"/>
          <w:sz w:val="32"/>
          <w:szCs w:val="32"/>
        </w:rPr>
        <w:br w:type="page"/>
      </w:r>
      <w:bookmarkStart w:id="10" w:name="_GoBack"/>
      <w:bookmarkEnd w:id="10"/>
    </w:p>
    <w:p w:rsidR="0010460A" w:rsidRDefault="00733AE9" w:rsidP="00816CE2">
      <w:pPr>
        <w:spacing w:line="560" w:lineRule="exact"/>
        <w:ind w:firstLineChars="200" w:firstLine="643"/>
        <w:outlineLvl w:val="1"/>
        <w:rPr>
          <w:rFonts w:ascii="Times New Roman" w:eastAsia="黑体" w:hAnsi="Times New Roman"/>
          <w:b/>
          <w:color w:val="000000" w:themeColor="text1"/>
          <w:sz w:val="32"/>
          <w:szCs w:val="32"/>
        </w:rPr>
      </w:pPr>
      <w:r>
        <w:rPr>
          <w:rFonts w:ascii="Times New Roman" w:eastAsia="黑体" w:hAnsi="Times New Roman" w:hint="eastAsia"/>
          <w:b/>
          <w:color w:val="000000" w:themeColor="text1"/>
          <w:sz w:val="32"/>
          <w:szCs w:val="32"/>
        </w:rPr>
        <w:lastRenderedPageBreak/>
        <w:t>三、课程考核专项检查发现的问题</w:t>
      </w:r>
      <w:bookmarkEnd w:id="9"/>
    </w:p>
    <w:p w:rsidR="00DB332C" w:rsidRPr="00DB332C" w:rsidRDefault="00DB332C" w:rsidP="00816CE2">
      <w:pPr>
        <w:spacing w:line="560" w:lineRule="exact"/>
        <w:ind w:firstLineChars="200" w:firstLine="643"/>
        <w:rPr>
          <w:rFonts w:ascii="Times New Roman" w:eastAsia="方正楷体_GBK" w:hAnsi="Times New Roman"/>
          <w:b/>
          <w:color w:val="000000" w:themeColor="text1"/>
          <w:sz w:val="32"/>
          <w:szCs w:val="32"/>
        </w:rPr>
      </w:pPr>
      <w:bookmarkStart w:id="11" w:name="_Toc144888555"/>
      <w:r w:rsidRPr="00DB332C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（一）</w:t>
      </w:r>
      <w:r w:rsidR="00816CE2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命题</w:t>
      </w:r>
      <w:r w:rsidRPr="00DB332C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质量</w:t>
      </w:r>
      <w:r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方面</w:t>
      </w:r>
    </w:p>
    <w:p w:rsidR="00DB332C" w:rsidRPr="00816CE2" w:rsidRDefault="003E3A6C" w:rsidP="00816CE2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816CE2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部分</w:t>
      </w:r>
      <w:r w:rsidR="00DB332C" w:rsidRPr="00816CE2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试卷考核偏离了课程目标。有些试卷偏难，</w:t>
      </w:r>
      <w:r w:rsidR="00DB332C" w:rsidRPr="00816CE2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7</w:t>
      </w:r>
      <w:r w:rsidR="00DB332C" w:rsidRPr="00816CE2">
        <w:rPr>
          <w:rFonts w:ascii="Times New Roman" w:eastAsia="方正仿宋_GBK" w:hAnsi="Times New Roman"/>
          <w:color w:val="000000" w:themeColor="text1"/>
          <w:sz w:val="32"/>
          <w:szCs w:val="32"/>
        </w:rPr>
        <w:t>0%</w:t>
      </w:r>
      <w:r w:rsidR="00DB332C" w:rsidRPr="00816CE2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以上的</w:t>
      </w:r>
      <w:r w:rsidRPr="00816CE2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学生</w:t>
      </w:r>
      <w:r w:rsidR="00DB332C" w:rsidRPr="00816CE2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期末试卷不及格</w:t>
      </w:r>
      <w:r w:rsidRPr="00816CE2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，而平时成绩偏高</w:t>
      </w:r>
      <w:r w:rsidR="00DB332C" w:rsidRPr="00816CE2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。有些试卷偏易，如写作考试，</w:t>
      </w:r>
      <w:r w:rsidR="00DB332C" w:rsidRPr="00816CE2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90</w:t>
      </w:r>
      <w:r w:rsidR="00DB332C" w:rsidRPr="00816CE2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分钟要求学生写</w:t>
      </w:r>
      <w:r w:rsidR="00DB332C" w:rsidRPr="00816CE2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300</w:t>
      </w:r>
      <w:r w:rsidR="00DB332C" w:rsidRPr="00816CE2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字左右的单词。</w:t>
      </w:r>
    </w:p>
    <w:p w:rsidR="00DB332C" w:rsidRPr="00DB332C" w:rsidRDefault="00DB332C" w:rsidP="00816CE2">
      <w:pPr>
        <w:spacing w:line="560" w:lineRule="exact"/>
        <w:ind w:firstLineChars="200" w:firstLine="643"/>
        <w:rPr>
          <w:rFonts w:ascii="Times New Roman" w:eastAsia="方正楷体_GBK" w:hAnsi="Times New Roman"/>
          <w:b/>
          <w:color w:val="000000" w:themeColor="text1"/>
          <w:sz w:val="32"/>
          <w:szCs w:val="32"/>
        </w:rPr>
      </w:pPr>
      <w:r w:rsidRPr="00DB332C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（二）批改质量</w:t>
      </w:r>
      <w:r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方面</w:t>
      </w:r>
    </w:p>
    <w:p w:rsidR="00DB332C" w:rsidRPr="00816CE2" w:rsidRDefault="00DB332C" w:rsidP="00816CE2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816CE2">
        <w:rPr>
          <w:rFonts w:ascii="Times New Roman" w:eastAsia="方正仿宋_GBK" w:hAnsi="Times New Roman"/>
          <w:color w:val="000000" w:themeColor="text1"/>
          <w:sz w:val="32"/>
          <w:szCs w:val="32"/>
        </w:rPr>
        <w:t>1.</w:t>
      </w:r>
      <w:r w:rsidRPr="00816CE2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非试卷考核如论文考核，考核方案</w:t>
      </w:r>
      <w:r w:rsidR="00816CE2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中</w:t>
      </w:r>
      <w:r w:rsidRPr="00816CE2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的分数没有细化，阅卷时只有一个总分。</w:t>
      </w:r>
    </w:p>
    <w:p w:rsidR="00DB332C" w:rsidRPr="00816CE2" w:rsidRDefault="00DB332C" w:rsidP="00816CE2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816CE2">
        <w:rPr>
          <w:rFonts w:ascii="Times New Roman" w:eastAsia="方正仿宋_GBK" w:hAnsi="Times New Roman"/>
          <w:color w:val="000000" w:themeColor="text1"/>
          <w:sz w:val="32"/>
          <w:szCs w:val="32"/>
        </w:rPr>
        <w:t>2.</w:t>
      </w:r>
      <w:r w:rsidRPr="00816CE2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试卷评分方式不一致，极少数教师在评阅中采用正分、负分混合使用情况</w:t>
      </w:r>
      <w:r w:rsidR="00816CE2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。</w:t>
      </w:r>
    </w:p>
    <w:p w:rsidR="00DB332C" w:rsidRPr="00DB332C" w:rsidRDefault="00DB332C" w:rsidP="00816CE2">
      <w:pPr>
        <w:spacing w:line="560" w:lineRule="exact"/>
        <w:ind w:firstLineChars="200" w:firstLine="643"/>
        <w:rPr>
          <w:rFonts w:ascii="Times New Roman" w:eastAsia="方正楷体_GBK" w:hAnsi="Times New Roman"/>
          <w:b/>
          <w:color w:val="000000" w:themeColor="text1"/>
          <w:sz w:val="32"/>
          <w:szCs w:val="32"/>
        </w:rPr>
      </w:pPr>
      <w:r w:rsidRPr="00DB332C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（三）试卷分析</w:t>
      </w:r>
      <w:r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方面</w:t>
      </w:r>
    </w:p>
    <w:p w:rsidR="00DB332C" w:rsidRPr="00816CE2" w:rsidRDefault="00DB332C" w:rsidP="00816CE2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816CE2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试卷分析和课程目标达成分析中，发现的问题不具体，如只是说“课程目标达成度较低”，没有分析到实质问题，没有找到根本原因。同时，整改措施未能针对具体问题提出有效的改进建议，使得试卷分析失去了其应有的指导意义。</w:t>
      </w:r>
    </w:p>
    <w:p w:rsidR="00DB332C" w:rsidRPr="00DB332C" w:rsidRDefault="00DB332C" w:rsidP="00816CE2">
      <w:pPr>
        <w:spacing w:line="560" w:lineRule="exact"/>
        <w:ind w:firstLineChars="200" w:firstLine="643"/>
        <w:rPr>
          <w:rFonts w:ascii="Times New Roman" w:eastAsia="方正楷体_GBK" w:hAnsi="Times New Roman"/>
          <w:b/>
          <w:color w:val="000000" w:themeColor="text1"/>
          <w:sz w:val="32"/>
          <w:szCs w:val="32"/>
        </w:rPr>
      </w:pPr>
      <w:r w:rsidRPr="00DB332C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（四）材料归档</w:t>
      </w:r>
      <w:r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方面</w:t>
      </w:r>
    </w:p>
    <w:p w:rsidR="00DB332C" w:rsidRPr="00816CE2" w:rsidRDefault="00DB332C" w:rsidP="00816CE2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816CE2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1</w:t>
      </w:r>
      <w:r w:rsidRPr="00816CE2">
        <w:rPr>
          <w:rFonts w:ascii="Times New Roman" w:eastAsia="方正仿宋_GBK" w:hAnsi="Times New Roman"/>
          <w:color w:val="000000" w:themeColor="text1"/>
          <w:sz w:val="32"/>
          <w:szCs w:val="32"/>
        </w:rPr>
        <w:t>.</w:t>
      </w:r>
      <w:r w:rsidRPr="00816CE2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答题册封面阅卷人和复核人未签字。</w:t>
      </w:r>
    </w:p>
    <w:p w:rsidR="00DB332C" w:rsidRPr="00816CE2" w:rsidRDefault="00DB332C" w:rsidP="00816CE2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816CE2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2</w:t>
      </w:r>
      <w:r w:rsidRPr="00816CE2">
        <w:rPr>
          <w:rFonts w:ascii="Times New Roman" w:eastAsia="方正仿宋_GBK" w:hAnsi="Times New Roman"/>
          <w:color w:val="000000" w:themeColor="text1"/>
          <w:sz w:val="32"/>
          <w:szCs w:val="32"/>
        </w:rPr>
        <w:t>.</w:t>
      </w:r>
      <w:r w:rsidRPr="00816CE2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课程实际考核方案与教学大纲规定的考核方案不一致。</w:t>
      </w:r>
    </w:p>
    <w:p w:rsidR="00DB332C" w:rsidRPr="00816CE2" w:rsidRDefault="00DB332C" w:rsidP="00816CE2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816CE2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3</w:t>
      </w:r>
      <w:r w:rsidRPr="00816CE2">
        <w:rPr>
          <w:rFonts w:ascii="Times New Roman" w:eastAsia="方正仿宋_GBK" w:hAnsi="Times New Roman"/>
          <w:color w:val="000000" w:themeColor="text1"/>
          <w:sz w:val="32"/>
          <w:szCs w:val="32"/>
        </w:rPr>
        <w:t>.</w:t>
      </w:r>
      <w:r w:rsidRPr="00816CE2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审核人签字由私章代替，不能确认审核人是否认真审核。</w:t>
      </w:r>
    </w:p>
    <w:p w:rsidR="00DB332C" w:rsidRPr="00816CE2" w:rsidRDefault="00DB332C" w:rsidP="00816CE2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816CE2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4</w:t>
      </w:r>
      <w:r w:rsidRPr="00816CE2">
        <w:rPr>
          <w:rFonts w:ascii="Times New Roman" w:eastAsia="方正仿宋_GBK" w:hAnsi="Times New Roman"/>
          <w:color w:val="000000" w:themeColor="text1"/>
          <w:sz w:val="32"/>
          <w:szCs w:val="32"/>
        </w:rPr>
        <w:t>.</w:t>
      </w:r>
      <w:r w:rsidRPr="00816CE2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过程性考核材料</w:t>
      </w:r>
      <w:proofErr w:type="gramStart"/>
      <w:r w:rsidRPr="00816CE2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不</w:t>
      </w:r>
      <w:proofErr w:type="gramEnd"/>
      <w:r w:rsidRPr="00816CE2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规范性。</w:t>
      </w:r>
    </w:p>
    <w:p w:rsidR="0010460A" w:rsidRDefault="00733AE9" w:rsidP="00816CE2">
      <w:pPr>
        <w:spacing w:line="560" w:lineRule="exact"/>
        <w:ind w:firstLineChars="200" w:firstLine="643"/>
        <w:outlineLvl w:val="1"/>
        <w:rPr>
          <w:rFonts w:ascii="Times New Roman" w:eastAsia="黑体" w:hAnsi="Times New Roman"/>
          <w:b/>
          <w:color w:val="000000" w:themeColor="text1"/>
          <w:sz w:val="32"/>
          <w:szCs w:val="32"/>
        </w:rPr>
      </w:pPr>
      <w:r>
        <w:rPr>
          <w:rFonts w:ascii="Times New Roman" w:eastAsia="黑体" w:hAnsi="Times New Roman" w:hint="eastAsia"/>
          <w:b/>
          <w:color w:val="000000" w:themeColor="text1"/>
          <w:sz w:val="32"/>
          <w:szCs w:val="32"/>
        </w:rPr>
        <w:t>四、课程考核工作改进建议</w:t>
      </w:r>
      <w:bookmarkEnd w:id="11"/>
    </w:p>
    <w:p w:rsidR="00DB332C" w:rsidRPr="00DB332C" w:rsidRDefault="00DB332C" w:rsidP="00816CE2">
      <w:pPr>
        <w:spacing w:line="560" w:lineRule="exact"/>
        <w:ind w:firstLineChars="200" w:firstLine="643"/>
        <w:rPr>
          <w:rFonts w:ascii="Times New Roman" w:eastAsia="方正楷体_GBK" w:hAnsi="Times New Roman"/>
          <w:b/>
          <w:color w:val="000000" w:themeColor="text1"/>
          <w:sz w:val="32"/>
          <w:szCs w:val="32"/>
        </w:rPr>
      </w:pPr>
      <w:r w:rsidRPr="00DB332C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（一）</w:t>
      </w:r>
      <w:r w:rsidR="00816CE2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命题</w:t>
      </w:r>
      <w:r w:rsidRPr="00DB332C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质量</w:t>
      </w:r>
      <w:r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方面</w:t>
      </w:r>
    </w:p>
    <w:p w:rsidR="00DB332C" w:rsidRPr="00DB332C" w:rsidRDefault="00DB332C" w:rsidP="00816CE2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DB332C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lastRenderedPageBreak/>
        <w:t>教师需要认真对授课对象进行学情分析，根据学生的知识基础和思维水平进行授课，因材施教；出题时需要把握试卷难度。部分课程期末考试大部分不及格的情况，要寻找原因，在</w:t>
      </w:r>
      <w:r w:rsidRPr="00DB332C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2024</w:t>
      </w:r>
      <w:r w:rsidRPr="00DB332C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年春期要有持续改进。</w:t>
      </w:r>
    </w:p>
    <w:p w:rsidR="00DB332C" w:rsidRPr="00DB332C" w:rsidRDefault="00DB332C" w:rsidP="00816CE2">
      <w:pPr>
        <w:spacing w:line="560" w:lineRule="exact"/>
        <w:ind w:firstLineChars="200" w:firstLine="643"/>
        <w:rPr>
          <w:rFonts w:ascii="Times New Roman" w:eastAsia="方正楷体_GBK" w:hAnsi="Times New Roman"/>
          <w:b/>
          <w:color w:val="000000" w:themeColor="text1"/>
          <w:sz w:val="32"/>
          <w:szCs w:val="32"/>
        </w:rPr>
      </w:pPr>
      <w:r w:rsidRPr="00DB332C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（二）批改质量</w:t>
      </w:r>
      <w:r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方面</w:t>
      </w:r>
    </w:p>
    <w:p w:rsidR="00DB332C" w:rsidRPr="00DB332C" w:rsidRDefault="00DB332C" w:rsidP="00816CE2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DB332C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各教学</w:t>
      </w:r>
      <w:proofErr w:type="gramStart"/>
      <w:r w:rsidRPr="00DB332C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院部需</w:t>
      </w:r>
      <w:proofErr w:type="gramEnd"/>
      <w:r w:rsidRPr="00DB332C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统一阅卷方式。试卷评阅需要有细化的小分，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特别是</w:t>
      </w:r>
      <w:r w:rsidRPr="00DB332C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非试卷考核如论文考核等，考核方案的分数要求细化，阅卷时也要有小分（按照论文试题册的封面，填写完整）；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同时</w:t>
      </w:r>
      <w:r w:rsidR="002B5F44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在</w:t>
      </w:r>
      <w:r w:rsidR="002B5F44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2</w:t>
      </w:r>
      <w:r w:rsidR="002B5F44">
        <w:rPr>
          <w:rFonts w:ascii="Times New Roman" w:eastAsia="方正仿宋_GBK" w:hAnsi="Times New Roman"/>
          <w:color w:val="000000" w:themeColor="text1"/>
          <w:sz w:val="32"/>
          <w:szCs w:val="32"/>
        </w:rPr>
        <w:t>024</w:t>
      </w:r>
      <w:r w:rsidR="002B5F44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年春期开始</w:t>
      </w:r>
      <w:r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增加</w:t>
      </w:r>
      <w:r w:rsidRPr="00DB332C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《非试卷考核审核表》。</w:t>
      </w:r>
    </w:p>
    <w:p w:rsidR="00DB332C" w:rsidRPr="00DB332C" w:rsidRDefault="00DB332C" w:rsidP="00816CE2">
      <w:pPr>
        <w:spacing w:line="560" w:lineRule="exact"/>
        <w:ind w:firstLineChars="200" w:firstLine="643"/>
        <w:rPr>
          <w:rFonts w:ascii="Times New Roman" w:eastAsia="方正楷体_GBK" w:hAnsi="Times New Roman"/>
          <w:b/>
          <w:color w:val="000000" w:themeColor="text1"/>
          <w:sz w:val="32"/>
          <w:szCs w:val="32"/>
        </w:rPr>
      </w:pPr>
      <w:r w:rsidRPr="00DB332C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（三）试卷分析</w:t>
      </w:r>
      <w:r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方面</w:t>
      </w:r>
    </w:p>
    <w:p w:rsidR="00DB332C" w:rsidRPr="00DB332C" w:rsidRDefault="00DB332C" w:rsidP="00816CE2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DB332C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课程目标达成分析中发现的问题要具体化，比如各个具体课程目标达成的问题、教学中的问题，学生学习的问题等。同时，整改措施应有针对性。</w:t>
      </w:r>
    </w:p>
    <w:p w:rsidR="00DB332C" w:rsidRPr="00DB332C" w:rsidRDefault="00DB332C" w:rsidP="00816CE2">
      <w:pPr>
        <w:spacing w:line="560" w:lineRule="exact"/>
        <w:ind w:firstLineChars="200" w:firstLine="643"/>
        <w:rPr>
          <w:rFonts w:ascii="Times New Roman" w:eastAsia="方正楷体_GBK" w:hAnsi="Times New Roman"/>
          <w:b/>
          <w:color w:val="000000" w:themeColor="text1"/>
          <w:sz w:val="32"/>
          <w:szCs w:val="32"/>
        </w:rPr>
      </w:pPr>
      <w:r w:rsidRPr="00DB332C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（四）材料归档</w:t>
      </w:r>
      <w:r w:rsidR="002B5F44">
        <w:rPr>
          <w:rFonts w:ascii="Times New Roman" w:eastAsia="方正楷体_GBK" w:hAnsi="Times New Roman" w:hint="eastAsia"/>
          <w:b/>
          <w:color w:val="000000" w:themeColor="text1"/>
          <w:sz w:val="32"/>
          <w:szCs w:val="32"/>
        </w:rPr>
        <w:t>方面</w:t>
      </w:r>
    </w:p>
    <w:p w:rsidR="00DB332C" w:rsidRPr="00DB332C" w:rsidRDefault="00DB332C" w:rsidP="00816CE2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DB332C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1.</w:t>
      </w:r>
      <w:r w:rsidRPr="00DB332C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答题册封面阅卷人和复核人，首页要全部签字，包括小分项和总分项；后面的</w:t>
      </w:r>
      <w:proofErr w:type="gramStart"/>
      <w:r w:rsidRPr="00DB332C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答题册只签</w:t>
      </w:r>
      <w:proofErr w:type="gramEnd"/>
      <w:r w:rsidRPr="00DB332C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总分项，阅卷人和复核人都要签。</w:t>
      </w:r>
    </w:p>
    <w:p w:rsidR="00DB332C" w:rsidRPr="00DB332C" w:rsidRDefault="00DB332C" w:rsidP="00816CE2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DB332C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2.</w:t>
      </w:r>
      <w:r w:rsidRPr="00DB332C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课程实际执行的考核方案需要与教学大纲一致。确因课程考试改革，导致课程实际考核方案与教学大纲规定的考核方案不一致，包括过程性考核项目、平时成绩与期末成绩的构成比例等有变更的情况，要求补充“关于</w:t>
      </w:r>
      <w:r w:rsidRPr="00DB332C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XX</w:t>
      </w:r>
      <w:r w:rsidRPr="00DB332C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课程变更考核方案的说明”，装入试卷袋，变更要有充分理由，由教学</w:t>
      </w:r>
      <w:proofErr w:type="gramStart"/>
      <w:r w:rsidRPr="00DB332C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院部审批</w:t>
      </w:r>
      <w:proofErr w:type="gramEnd"/>
      <w:r w:rsidRPr="00DB332C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实施，审批时间为该学期开学第一周。</w:t>
      </w:r>
    </w:p>
    <w:p w:rsidR="00DB332C" w:rsidRPr="00DB332C" w:rsidRDefault="00DB332C" w:rsidP="00816CE2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DB332C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lastRenderedPageBreak/>
        <w:t>3.</w:t>
      </w:r>
      <w:r w:rsidRPr="00DB332C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为提高试卷审核质量，从</w:t>
      </w:r>
      <w:r w:rsidRPr="00DB332C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2024</w:t>
      </w:r>
      <w:r w:rsidRPr="00DB332C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年春期开始，审核人签字必须手签，不能由私章代替。</w:t>
      </w:r>
    </w:p>
    <w:p w:rsidR="00DB332C" w:rsidRPr="00DB332C" w:rsidRDefault="00DB332C" w:rsidP="00816CE2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DB332C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4.</w:t>
      </w:r>
      <w:r w:rsidRPr="00DB332C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过程性考核成绩单，教务处没有硬性要求手写。试卷评阅中，大题分和小题分的规范上不作统一要求</w:t>
      </w:r>
      <w:r w:rsidR="009077F8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，但</w:t>
      </w:r>
      <w:r w:rsidR="009077F8" w:rsidRPr="00DB332C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大题分和小题分</w:t>
      </w:r>
      <w:r w:rsidR="009077F8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要能够区分开</w:t>
      </w:r>
      <w:r w:rsidRPr="00DB332C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，</w:t>
      </w:r>
      <w:r w:rsidR="00C5326D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各个院部</w:t>
      </w:r>
      <w:r w:rsidRPr="00DB332C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应当统一。</w:t>
      </w:r>
    </w:p>
    <w:p w:rsidR="00DB332C" w:rsidRPr="00DB332C" w:rsidRDefault="00DB332C" w:rsidP="00816CE2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DB332C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5.</w:t>
      </w:r>
      <w:r w:rsidRPr="00DB332C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师范专业和食品专业所有年级、其他专业</w:t>
      </w:r>
      <w:r w:rsidRPr="00DB332C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2023</w:t>
      </w:r>
      <w:r w:rsidRPr="00DB332C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级开始，需有课程目标达成评价，并提交一名学生过程性考核材料样本。</w:t>
      </w:r>
    </w:p>
    <w:p w:rsidR="0010460A" w:rsidRPr="00DB332C" w:rsidRDefault="00DB332C" w:rsidP="00816CE2">
      <w:pPr>
        <w:spacing w:line="560" w:lineRule="exact"/>
        <w:ind w:firstLineChars="200" w:firstLine="640"/>
        <w:rPr>
          <w:rFonts w:ascii="Times New Roman" w:eastAsia="方正仿宋_GBK" w:hAnsi="Times New Roman"/>
          <w:color w:val="000000" w:themeColor="text1"/>
          <w:sz w:val="32"/>
          <w:szCs w:val="32"/>
        </w:rPr>
      </w:pPr>
      <w:r w:rsidRPr="00DB332C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6.</w:t>
      </w:r>
      <w:r w:rsidRPr="00DB332C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提供</w:t>
      </w:r>
      <w:r w:rsidR="00C5326D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的</w:t>
      </w:r>
      <w:r w:rsidRPr="00DB332C">
        <w:rPr>
          <w:rFonts w:ascii="Times New Roman" w:eastAsia="方正仿宋_GBK" w:hAnsi="Times New Roman" w:hint="eastAsia"/>
          <w:color w:val="000000" w:themeColor="text1"/>
          <w:sz w:val="32"/>
          <w:szCs w:val="32"/>
        </w:rPr>
        <w:t>一名学生过程性考核材料，如果是视频、电子设计或其他资料，可提供电子材料。如果电子材料容量较大，或通过信息化教学平台进行的考核，可提供几页代表性的截图打印出来。</w:t>
      </w:r>
    </w:p>
    <w:p w:rsidR="0010460A" w:rsidRDefault="0010460A" w:rsidP="00B2601F">
      <w:pPr>
        <w:widowControl/>
        <w:jc w:val="center"/>
        <w:rPr>
          <w:rFonts w:ascii="Times New Roman" w:eastAsia="仿宋_gb2312" w:hAnsi="Times New Roman" w:cs="仿宋_gb2312"/>
          <w:color w:val="000000" w:themeColor="text1"/>
          <w:kern w:val="0"/>
          <w:sz w:val="30"/>
          <w:szCs w:val="30"/>
          <w:shd w:val="clear" w:color="auto" w:fill="FFFFFF"/>
        </w:rPr>
      </w:pPr>
    </w:p>
    <w:p w:rsidR="0010460A" w:rsidRDefault="00B2601F" w:rsidP="00B2601F">
      <w:pPr>
        <w:widowControl/>
        <w:jc w:val="center"/>
        <w:rPr>
          <w:rFonts w:ascii="Times New Roman" w:eastAsia="仿宋_gb2312" w:hAnsi="Times New Roman" w:cs="仿宋_gb2312"/>
          <w:color w:val="000000" w:themeColor="text1"/>
          <w:kern w:val="0"/>
          <w:sz w:val="30"/>
          <w:szCs w:val="30"/>
          <w:shd w:val="clear" w:color="auto" w:fill="FFFFFF"/>
        </w:rPr>
      </w:pPr>
      <w:r>
        <w:rPr>
          <w:noProof/>
        </w:rPr>
        <w:drawing>
          <wp:inline distT="0" distB="0" distL="0" distR="0">
            <wp:extent cx="5616575" cy="3157329"/>
            <wp:effectExtent l="0" t="0" r="3175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5" cy="315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60A" w:rsidRDefault="0010460A" w:rsidP="00B2601F">
      <w:pPr>
        <w:widowControl/>
        <w:jc w:val="center"/>
        <w:rPr>
          <w:rFonts w:ascii="Times New Roman" w:eastAsia="仿宋_gb2312" w:hAnsi="Times New Roman" w:cs="仿宋_gb2312"/>
          <w:color w:val="000000" w:themeColor="text1"/>
          <w:kern w:val="0"/>
          <w:sz w:val="30"/>
          <w:szCs w:val="30"/>
          <w:shd w:val="clear" w:color="auto" w:fill="FFFFFF"/>
        </w:rPr>
      </w:pPr>
    </w:p>
    <w:p w:rsidR="00B11CAF" w:rsidRDefault="00B11CAF" w:rsidP="00B2601F">
      <w:pPr>
        <w:widowControl/>
        <w:jc w:val="center"/>
        <w:rPr>
          <w:rFonts w:ascii="Times New Roman" w:eastAsia="仿宋_gb2312" w:hAnsi="Times New Roman" w:cs="仿宋_gb2312"/>
          <w:color w:val="000000" w:themeColor="text1"/>
          <w:kern w:val="0"/>
          <w:sz w:val="30"/>
          <w:szCs w:val="3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616575" cy="3160498"/>
            <wp:effectExtent l="0" t="0" r="3175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5" cy="316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60A" w:rsidRDefault="00B2601F" w:rsidP="00B2601F">
      <w:pPr>
        <w:widowControl/>
        <w:jc w:val="center"/>
        <w:rPr>
          <w:rFonts w:ascii="Times New Roman" w:eastAsia="仿宋_gb2312" w:hAnsi="Times New Roman" w:cs="仿宋_gb2312"/>
          <w:color w:val="000000" w:themeColor="text1"/>
          <w:kern w:val="0"/>
          <w:sz w:val="30"/>
          <w:szCs w:val="30"/>
          <w:shd w:val="clear" w:color="auto" w:fill="FFFFFF"/>
        </w:rPr>
      </w:pPr>
      <w:r>
        <w:rPr>
          <w:noProof/>
        </w:rPr>
        <w:drawing>
          <wp:inline distT="0" distB="0" distL="0" distR="0">
            <wp:extent cx="5616575" cy="3162226"/>
            <wp:effectExtent l="0" t="0" r="317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5" cy="316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60A" w:rsidRDefault="0010460A" w:rsidP="00B2601F">
      <w:pPr>
        <w:widowControl/>
        <w:jc w:val="center"/>
        <w:rPr>
          <w:rFonts w:ascii="Times New Roman" w:eastAsia="仿宋_gb2312" w:hAnsi="Times New Roman" w:cs="仿宋_gb2312"/>
          <w:color w:val="000000" w:themeColor="text1"/>
          <w:kern w:val="0"/>
          <w:sz w:val="30"/>
          <w:szCs w:val="30"/>
          <w:shd w:val="clear" w:color="auto" w:fill="FFFFFF"/>
        </w:rPr>
      </w:pPr>
    </w:p>
    <w:p w:rsidR="0010460A" w:rsidRDefault="00B2601F" w:rsidP="00B2601F">
      <w:pPr>
        <w:widowControl/>
        <w:jc w:val="center"/>
        <w:rPr>
          <w:rFonts w:ascii="Times New Roman" w:eastAsia="仿宋_gb2312" w:hAnsi="Times New Roman" w:cs="仿宋_gb2312"/>
          <w:color w:val="000000" w:themeColor="text1"/>
          <w:kern w:val="0"/>
          <w:sz w:val="30"/>
          <w:szCs w:val="3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616575" cy="4202688"/>
            <wp:effectExtent l="0" t="0" r="317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5" cy="420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460A">
      <w:footerReference w:type="even" r:id="rId27"/>
      <w:footerReference w:type="default" r:id="rId28"/>
      <w:pgSz w:w="11906" w:h="16838"/>
      <w:pgMar w:top="2098" w:right="1474" w:bottom="1984" w:left="1587" w:header="851" w:footer="992" w:gutter="0"/>
      <w:pgNumType w:fmt="numberInDash"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59EE" w:rsidRDefault="000B59EE">
      <w:r>
        <w:separator/>
      </w:r>
    </w:p>
  </w:endnote>
  <w:endnote w:type="continuationSeparator" w:id="0">
    <w:p w:rsidR="000B59EE" w:rsidRDefault="000B5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小标宋_GBK">
    <w:altName w:val="Microsoft YaHei UI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楷体_GBK">
    <w:altName w:val="Microsoft YaHei UI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60A" w:rsidRDefault="00733AE9">
    <w:pPr>
      <w:pStyle w:val="a7"/>
      <w:ind w:firstLineChars="100" w:firstLine="280"/>
      <w:rPr>
        <w:rFonts w:ascii="宋体" w:eastAsia="宋体" w:hAnsi="宋体" w:cs="宋体"/>
        <w:sz w:val="28"/>
      </w:rPr>
    </w:pPr>
    <w:r>
      <w:rPr>
        <w:rFonts w:ascii="宋体" w:eastAsia="宋体" w:hAnsi="宋体" w:cs="宋体" w:hint="eastAsia"/>
        <w:sz w:val="28"/>
      </w:rPr>
      <w:t>—</w:t>
    </w:r>
    <w:r>
      <w:rPr>
        <w:rFonts w:ascii="宋体" w:eastAsia="宋体" w:hAnsi="宋体" w:cs="宋体"/>
        <w:sz w:val="28"/>
      </w:rPr>
      <w:t xml:space="preserve"> </w:t>
    </w:r>
    <w:r>
      <w:rPr>
        <w:rFonts w:ascii="宋体" w:eastAsia="宋体" w:hAnsi="宋体" w:cs="宋体"/>
        <w:sz w:val="28"/>
      </w:rPr>
      <w:fldChar w:fldCharType="begin"/>
    </w:r>
    <w:r>
      <w:rPr>
        <w:rFonts w:ascii="宋体" w:eastAsia="宋体" w:hAnsi="宋体" w:cs="宋体"/>
        <w:sz w:val="28"/>
      </w:rPr>
      <w:instrText xml:space="preserve"> PAGE \* Arabic \* MERGEFORMAT </w:instrText>
    </w:r>
    <w:r>
      <w:rPr>
        <w:rFonts w:ascii="宋体" w:eastAsia="宋体" w:hAnsi="宋体" w:cs="宋体"/>
        <w:sz w:val="28"/>
      </w:rPr>
      <w:fldChar w:fldCharType="separate"/>
    </w:r>
    <w:r>
      <w:rPr>
        <w:rFonts w:ascii="宋体" w:eastAsia="宋体" w:hAnsi="宋体" w:cs="宋体"/>
        <w:sz w:val="28"/>
      </w:rPr>
      <w:t>6</w:t>
    </w:r>
    <w:r>
      <w:rPr>
        <w:rFonts w:ascii="宋体" w:eastAsia="宋体" w:hAnsi="宋体" w:cs="宋体"/>
        <w:sz w:val="28"/>
      </w:rPr>
      <w:fldChar w:fldCharType="end"/>
    </w:r>
    <w:r>
      <w:rPr>
        <w:rFonts w:ascii="宋体" w:eastAsia="宋体" w:hAnsi="宋体" w:cs="宋体"/>
        <w:sz w:val="28"/>
      </w:rPr>
      <w:t xml:space="preserve"> —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60A" w:rsidRDefault="00733AE9">
    <w:pPr>
      <w:pStyle w:val="a7"/>
      <w:ind w:rightChars="100" w:right="210"/>
      <w:jc w:val="right"/>
      <w:rPr>
        <w:rFonts w:ascii="宋体" w:eastAsia="宋体" w:hAnsi="宋体" w:cs="宋体"/>
        <w:sz w:val="28"/>
      </w:rPr>
    </w:pPr>
    <w:r>
      <w:rPr>
        <w:rFonts w:ascii="宋体" w:eastAsia="宋体" w:hAnsi="宋体" w:cs="宋体" w:hint="eastAsia"/>
        <w:sz w:val="28"/>
      </w:rPr>
      <w:t>—</w:t>
    </w:r>
    <w:r>
      <w:rPr>
        <w:rFonts w:ascii="宋体" w:eastAsia="宋体" w:hAnsi="宋体" w:cs="宋体"/>
        <w:sz w:val="28"/>
      </w:rPr>
      <w:t xml:space="preserve"> </w:t>
    </w:r>
    <w:r>
      <w:rPr>
        <w:rFonts w:ascii="宋体" w:eastAsia="宋体" w:hAnsi="宋体" w:cs="宋体"/>
        <w:sz w:val="28"/>
      </w:rPr>
      <w:fldChar w:fldCharType="begin"/>
    </w:r>
    <w:r>
      <w:rPr>
        <w:rFonts w:ascii="宋体" w:eastAsia="宋体" w:hAnsi="宋体" w:cs="宋体"/>
        <w:sz w:val="28"/>
      </w:rPr>
      <w:instrText xml:space="preserve"> PAGE \* Arabic \* MERGEFORMAT </w:instrText>
    </w:r>
    <w:r>
      <w:rPr>
        <w:rFonts w:ascii="宋体" w:eastAsia="宋体" w:hAnsi="宋体" w:cs="宋体"/>
        <w:sz w:val="28"/>
      </w:rPr>
      <w:fldChar w:fldCharType="separate"/>
    </w:r>
    <w:r>
      <w:rPr>
        <w:rFonts w:ascii="宋体" w:eastAsia="宋体" w:hAnsi="宋体" w:cs="宋体"/>
        <w:sz w:val="28"/>
      </w:rPr>
      <w:t>7</w:t>
    </w:r>
    <w:r>
      <w:rPr>
        <w:rFonts w:ascii="宋体" w:eastAsia="宋体" w:hAnsi="宋体" w:cs="宋体"/>
        <w:sz w:val="28"/>
      </w:rPr>
      <w:fldChar w:fldCharType="end"/>
    </w:r>
    <w:r>
      <w:rPr>
        <w:rFonts w:ascii="宋体" w:eastAsia="宋体" w:hAnsi="宋体" w:cs="宋体"/>
        <w:sz w:val="28"/>
      </w:rPr>
      <w:t xml:space="preserve"> —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59EE" w:rsidRDefault="000B59EE">
      <w:r>
        <w:separator/>
      </w:r>
    </w:p>
  </w:footnote>
  <w:footnote w:type="continuationSeparator" w:id="0">
    <w:p w:rsidR="000B59EE" w:rsidRDefault="000B59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bordersDoNotSurroundHeader/>
  <w:bordersDoNotSurroundFooter/>
  <w:proofState w:spelling="clean" w:grammar="clean"/>
  <w:attachedTemplate r:id="rId1"/>
  <w:defaultTabStop w:val="420"/>
  <w:evenAndOddHeaders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GUyNzY1ODdkNDQzNmU5OTk5MTJhOTVhNDNiY2Q5MzMifQ=="/>
  </w:docVars>
  <w:rsids>
    <w:rsidRoot w:val="3F946CB2"/>
    <w:rsid w:val="00000584"/>
    <w:rsid w:val="00001366"/>
    <w:rsid w:val="0000404D"/>
    <w:rsid w:val="00004220"/>
    <w:rsid w:val="00004564"/>
    <w:rsid w:val="0000784D"/>
    <w:rsid w:val="000104C9"/>
    <w:rsid w:val="00010E04"/>
    <w:rsid w:val="00011FC0"/>
    <w:rsid w:val="0001328D"/>
    <w:rsid w:val="00014DE2"/>
    <w:rsid w:val="00016300"/>
    <w:rsid w:val="00017440"/>
    <w:rsid w:val="00020C3B"/>
    <w:rsid w:val="00021DB9"/>
    <w:rsid w:val="00023B74"/>
    <w:rsid w:val="0002459F"/>
    <w:rsid w:val="00025405"/>
    <w:rsid w:val="0003008A"/>
    <w:rsid w:val="000332DF"/>
    <w:rsid w:val="0003534A"/>
    <w:rsid w:val="00035715"/>
    <w:rsid w:val="000360BC"/>
    <w:rsid w:val="00037686"/>
    <w:rsid w:val="00040957"/>
    <w:rsid w:val="00041E3E"/>
    <w:rsid w:val="000435C1"/>
    <w:rsid w:val="00045EF5"/>
    <w:rsid w:val="00053215"/>
    <w:rsid w:val="00053C74"/>
    <w:rsid w:val="00054FC0"/>
    <w:rsid w:val="00056340"/>
    <w:rsid w:val="00056BC3"/>
    <w:rsid w:val="000573C4"/>
    <w:rsid w:val="000627DE"/>
    <w:rsid w:val="00065CCF"/>
    <w:rsid w:val="00065E24"/>
    <w:rsid w:val="0006682E"/>
    <w:rsid w:val="00066C6D"/>
    <w:rsid w:val="00066E46"/>
    <w:rsid w:val="00067242"/>
    <w:rsid w:val="00067924"/>
    <w:rsid w:val="0007096B"/>
    <w:rsid w:val="00071BB4"/>
    <w:rsid w:val="00072181"/>
    <w:rsid w:val="00080F49"/>
    <w:rsid w:val="0008119D"/>
    <w:rsid w:val="00081E23"/>
    <w:rsid w:val="00081F0B"/>
    <w:rsid w:val="00082A23"/>
    <w:rsid w:val="00082B26"/>
    <w:rsid w:val="00083E10"/>
    <w:rsid w:val="00084578"/>
    <w:rsid w:val="00084705"/>
    <w:rsid w:val="000852D0"/>
    <w:rsid w:val="000875F7"/>
    <w:rsid w:val="000920A8"/>
    <w:rsid w:val="000931E3"/>
    <w:rsid w:val="00093E25"/>
    <w:rsid w:val="0009487C"/>
    <w:rsid w:val="00095768"/>
    <w:rsid w:val="00096522"/>
    <w:rsid w:val="000A221A"/>
    <w:rsid w:val="000A2264"/>
    <w:rsid w:val="000A3900"/>
    <w:rsid w:val="000A3CAC"/>
    <w:rsid w:val="000A4748"/>
    <w:rsid w:val="000A7091"/>
    <w:rsid w:val="000A7591"/>
    <w:rsid w:val="000B1674"/>
    <w:rsid w:val="000B409E"/>
    <w:rsid w:val="000B45D4"/>
    <w:rsid w:val="000B59EE"/>
    <w:rsid w:val="000C0163"/>
    <w:rsid w:val="000C2080"/>
    <w:rsid w:val="000C24DC"/>
    <w:rsid w:val="000C2E7F"/>
    <w:rsid w:val="000C556B"/>
    <w:rsid w:val="000C6A5A"/>
    <w:rsid w:val="000C6D45"/>
    <w:rsid w:val="000D10AF"/>
    <w:rsid w:val="000D11AC"/>
    <w:rsid w:val="000D22C3"/>
    <w:rsid w:val="000D687A"/>
    <w:rsid w:val="000D6A1C"/>
    <w:rsid w:val="000E3771"/>
    <w:rsid w:val="000E3F2F"/>
    <w:rsid w:val="000E6638"/>
    <w:rsid w:val="000E7012"/>
    <w:rsid w:val="000F7193"/>
    <w:rsid w:val="000F7545"/>
    <w:rsid w:val="0010097C"/>
    <w:rsid w:val="0010460A"/>
    <w:rsid w:val="00105633"/>
    <w:rsid w:val="00107265"/>
    <w:rsid w:val="00114560"/>
    <w:rsid w:val="001149B1"/>
    <w:rsid w:val="00122256"/>
    <w:rsid w:val="001229B1"/>
    <w:rsid w:val="00122E0F"/>
    <w:rsid w:val="00123092"/>
    <w:rsid w:val="00124682"/>
    <w:rsid w:val="001253B1"/>
    <w:rsid w:val="0013145E"/>
    <w:rsid w:val="001320C8"/>
    <w:rsid w:val="001341B0"/>
    <w:rsid w:val="00136AA5"/>
    <w:rsid w:val="0013770D"/>
    <w:rsid w:val="00137DFC"/>
    <w:rsid w:val="00140B72"/>
    <w:rsid w:val="0014238B"/>
    <w:rsid w:val="00143DA4"/>
    <w:rsid w:val="00146DA4"/>
    <w:rsid w:val="0014771E"/>
    <w:rsid w:val="00151138"/>
    <w:rsid w:val="00151370"/>
    <w:rsid w:val="00153055"/>
    <w:rsid w:val="00153399"/>
    <w:rsid w:val="001560A8"/>
    <w:rsid w:val="00166CAA"/>
    <w:rsid w:val="00167245"/>
    <w:rsid w:val="001672C8"/>
    <w:rsid w:val="00172D95"/>
    <w:rsid w:val="0017308C"/>
    <w:rsid w:val="00175D76"/>
    <w:rsid w:val="001802E6"/>
    <w:rsid w:val="00181391"/>
    <w:rsid w:val="0018205F"/>
    <w:rsid w:val="0018394B"/>
    <w:rsid w:val="001865B9"/>
    <w:rsid w:val="00190039"/>
    <w:rsid w:val="00192338"/>
    <w:rsid w:val="00192DA4"/>
    <w:rsid w:val="001945EC"/>
    <w:rsid w:val="0019479D"/>
    <w:rsid w:val="001A1A6C"/>
    <w:rsid w:val="001A1F4F"/>
    <w:rsid w:val="001A24CC"/>
    <w:rsid w:val="001A31BE"/>
    <w:rsid w:val="001A3D32"/>
    <w:rsid w:val="001A5F36"/>
    <w:rsid w:val="001A79AD"/>
    <w:rsid w:val="001B07FF"/>
    <w:rsid w:val="001B1F2B"/>
    <w:rsid w:val="001B5058"/>
    <w:rsid w:val="001B5279"/>
    <w:rsid w:val="001B7B5F"/>
    <w:rsid w:val="001C07B5"/>
    <w:rsid w:val="001C338B"/>
    <w:rsid w:val="001C50B0"/>
    <w:rsid w:val="001C54B2"/>
    <w:rsid w:val="001C557C"/>
    <w:rsid w:val="001C773B"/>
    <w:rsid w:val="001D3A89"/>
    <w:rsid w:val="001D3CD4"/>
    <w:rsid w:val="001E2F4F"/>
    <w:rsid w:val="001E5782"/>
    <w:rsid w:val="001F00CB"/>
    <w:rsid w:val="001F1359"/>
    <w:rsid w:val="001F22A7"/>
    <w:rsid w:val="001F7A9E"/>
    <w:rsid w:val="00201CE5"/>
    <w:rsid w:val="00201DAB"/>
    <w:rsid w:val="00202020"/>
    <w:rsid w:val="002127D4"/>
    <w:rsid w:val="0021402E"/>
    <w:rsid w:val="00214383"/>
    <w:rsid w:val="00215DFE"/>
    <w:rsid w:val="00216D24"/>
    <w:rsid w:val="0021761A"/>
    <w:rsid w:val="00217802"/>
    <w:rsid w:val="00222C6C"/>
    <w:rsid w:val="00223554"/>
    <w:rsid w:val="00224726"/>
    <w:rsid w:val="00224C13"/>
    <w:rsid w:val="002254EB"/>
    <w:rsid w:val="002260EA"/>
    <w:rsid w:val="00233415"/>
    <w:rsid w:val="00235C37"/>
    <w:rsid w:val="00236ED4"/>
    <w:rsid w:val="00241B92"/>
    <w:rsid w:val="00241BE1"/>
    <w:rsid w:val="002424D6"/>
    <w:rsid w:val="002425E1"/>
    <w:rsid w:val="002429FC"/>
    <w:rsid w:val="00245DD2"/>
    <w:rsid w:val="00246F25"/>
    <w:rsid w:val="002474A4"/>
    <w:rsid w:val="002476A5"/>
    <w:rsid w:val="00247F4E"/>
    <w:rsid w:val="0025490E"/>
    <w:rsid w:val="002549A4"/>
    <w:rsid w:val="002552C8"/>
    <w:rsid w:val="00255B61"/>
    <w:rsid w:val="00257476"/>
    <w:rsid w:val="00261378"/>
    <w:rsid w:val="002644DA"/>
    <w:rsid w:val="002656EC"/>
    <w:rsid w:val="002719D9"/>
    <w:rsid w:val="00272460"/>
    <w:rsid w:val="0027354A"/>
    <w:rsid w:val="00273AD1"/>
    <w:rsid w:val="00274C6D"/>
    <w:rsid w:val="002877C3"/>
    <w:rsid w:val="00295F2C"/>
    <w:rsid w:val="002A0DA5"/>
    <w:rsid w:val="002A3C2A"/>
    <w:rsid w:val="002A47DA"/>
    <w:rsid w:val="002A4E8F"/>
    <w:rsid w:val="002A683D"/>
    <w:rsid w:val="002A6901"/>
    <w:rsid w:val="002A6D8B"/>
    <w:rsid w:val="002B3491"/>
    <w:rsid w:val="002B3899"/>
    <w:rsid w:val="002B3CD2"/>
    <w:rsid w:val="002B47A9"/>
    <w:rsid w:val="002B5745"/>
    <w:rsid w:val="002B5F44"/>
    <w:rsid w:val="002B7396"/>
    <w:rsid w:val="002C430B"/>
    <w:rsid w:val="002C673D"/>
    <w:rsid w:val="002D1890"/>
    <w:rsid w:val="002D1B97"/>
    <w:rsid w:val="002D7413"/>
    <w:rsid w:val="002E4AF8"/>
    <w:rsid w:val="002F13C8"/>
    <w:rsid w:val="002F1857"/>
    <w:rsid w:val="002F1CA7"/>
    <w:rsid w:val="002F2D7C"/>
    <w:rsid w:val="002F3217"/>
    <w:rsid w:val="002F6A15"/>
    <w:rsid w:val="002F734C"/>
    <w:rsid w:val="003002D6"/>
    <w:rsid w:val="00300842"/>
    <w:rsid w:val="00303DCA"/>
    <w:rsid w:val="003040AE"/>
    <w:rsid w:val="00304A37"/>
    <w:rsid w:val="0030711C"/>
    <w:rsid w:val="00311BF6"/>
    <w:rsid w:val="00311DB3"/>
    <w:rsid w:val="0031290E"/>
    <w:rsid w:val="003133A6"/>
    <w:rsid w:val="0031432D"/>
    <w:rsid w:val="003168C1"/>
    <w:rsid w:val="00320406"/>
    <w:rsid w:val="003233A7"/>
    <w:rsid w:val="003243F0"/>
    <w:rsid w:val="0033071D"/>
    <w:rsid w:val="003314C3"/>
    <w:rsid w:val="003361EC"/>
    <w:rsid w:val="00337CA5"/>
    <w:rsid w:val="0034082A"/>
    <w:rsid w:val="0034236B"/>
    <w:rsid w:val="003433A9"/>
    <w:rsid w:val="0034455D"/>
    <w:rsid w:val="00344DE6"/>
    <w:rsid w:val="0034749D"/>
    <w:rsid w:val="003478E4"/>
    <w:rsid w:val="00353C45"/>
    <w:rsid w:val="00354F6F"/>
    <w:rsid w:val="00356690"/>
    <w:rsid w:val="00356B71"/>
    <w:rsid w:val="00363448"/>
    <w:rsid w:val="003642B6"/>
    <w:rsid w:val="003642BD"/>
    <w:rsid w:val="0036479F"/>
    <w:rsid w:val="00367E76"/>
    <w:rsid w:val="00367F1E"/>
    <w:rsid w:val="003703A6"/>
    <w:rsid w:val="00371098"/>
    <w:rsid w:val="00373047"/>
    <w:rsid w:val="00373ED5"/>
    <w:rsid w:val="003746ED"/>
    <w:rsid w:val="00375CE4"/>
    <w:rsid w:val="003761CB"/>
    <w:rsid w:val="0037662A"/>
    <w:rsid w:val="0037736D"/>
    <w:rsid w:val="00380113"/>
    <w:rsid w:val="00380A58"/>
    <w:rsid w:val="00381241"/>
    <w:rsid w:val="00381522"/>
    <w:rsid w:val="003818CC"/>
    <w:rsid w:val="003843E4"/>
    <w:rsid w:val="00386AFE"/>
    <w:rsid w:val="00386D68"/>
    <w:rsid w:val="00387360"/>
    <w:rsid w:val="00387D4F"/>
    <w:rsid w:val="00387E63"/>
    <w:rsid w:val="0039000F"/>
    <w:rsid w:val="00392EB5"/>
    <w:rsid w:val="00393970"/>
    <w:rsid w:val="0039461D"/>
    <w:rsid w:val="00394F48"/>
    <w:rsid w:val="0039678B"/>
    <w:rsid w:val="003A1DBB"/>
    <w:rsid w:val="003A3FA3"/>
    <w:rsid w:val="003A48CB"/>
    <w:rsid w:val="003A5CF4"/>
    <w:rsid w:val="003A5E93"/>
    <w:rsid w:val="003A6F3B"/>
    <w:rsid w:val="003A718D"/>
    <w:rsid w:val="003B024D"/>
    <w:rsid w:val="003B30B6"/>
    <w:rsid w:val="003B4976"/>
    <w:rsid w:val="003B7FB9"/>
    <w:rsid w:val="003C126F"/>
    <w:rsid w:val="003C1617"/>
    <w:rsid w:val="003C22A0"/>
    <w:rsid w:val="003C2A32"/>
    <w:rsid w:val="003C3F04"/>
    <w:rsid w:val="003C6164"/>
    <w:rsid w:val="003C6C42"/>
    <w:rsid w:val="003D1D2C"/>
    <w:rsid w:val="003D293E"/>
    <w:rsid w:val="003D30B9"/>
    <w:rsid w:val="003D324C"/>
    <w:rsid w:val="003D3940"/>
    <w:rsid w:val="003D3D69"/>
    <w:rsid w:val="003D5C30"/>
    <w:rsid w:val="003D5EF0"/>
    <w:rsid w:val="003D72EC"/>
    <w:rsid w:val="003E0284"/>
    <w:rsid w:val="003E0774"/>
    <w:rsid w:val="003E0925"/>
    <w:rsid w:val="003E2CF0"/>
    <w:rsid w:val="003E3A6C"/>
    <w:rsid w:val="003F0212"/>
    <w:rsid w:val="003F1AF4"/>
    <w:rsid w:val="003F26AF"/>
    <w:rsid w:val="003F3137"/>
    <w:rsid w:val="003F3DF1"/>
    <w:rsid w:val="003F40B5"/>
    <w:rsid w:val="003F4AC3"/>
    <w:rsid w:val="003F4E88"/>
    <w:rsid w:val="003F594C"/>
    <w:rsid w:val="003F6A88"/>
    <w:rsid w:val="003F7D9D"/>
    <w:rsid w:val="00400575"/>
    <w:rsid w:val="00404052"/>
    <w:rsid w:val="004040A7"/>
    <w:rsid w:val="00404367"/>
    <w:rsid w:val="00410769"/>
    <w:rsid w:val="00412201"/>
    <w:rsid w:val="004145F4"/>
    <w:rsid w:val="00420B9B"/>
    <w:rsid w:val="004237E6"/>
    <w:rsid w:val="00430CF1"/>
    <w:rsid w:val="004323E1"/>
    <w:rsid w:val="00432C81"/>
    <w:rsid w:val="0043522B"/>
    <w:rsid w:val="004352B1"/>
    <w:rsid w:val="00435671"/>
    <w:rsid w:val="00437391"/>
    <w:rsid w:val="00440DA0"/>
    <w:rsid w:val="00444299"/>
    <w:rsid w:val="00445363"/>
    <w:rsid w:val="004456A3"/>
    <w:rsid w:val="00445AA7"/>
    <w:rsid w:val="0044729A"/>
    <w:rsid w:val="00447963"/>
    <w:rsid w:val="00451238"/>
    <w:rsid w:val="00456A6E"/>
    <w:rsid w:val="00461042"/>
    <w:rsid w:val="00461BCA"/>
    <w:rsid w:val="004651F9"/>
    <w:rsid w:val="00465A8A"/>
    <w:rsid w:val="004721D2"/>
    <w:rsid w:val="00472F52"/>
    <w:rsid w:val="004740E5"/>
    <w:rsid w:val="004741A6"/>
    <w:rsid w:val="0047490A"/>
    <w:rsid w:val="00476B2B"/>
    <w:rsid w:val="00481747"/>
    <w:rsid w:val="00482A6D"/>
    <w:rsid w:val="004832D1"/>
    <w:rsid w:val="004844F8"/>
    <w:rsid w:val="004904DA"/>
    <w:rsid w:val="00490E0A"/>
    <w:rsid w:val="004929DE"/>
    <w:rsid w:val="00494924"/>
    <w:rsid w:val="004974B3"/>
    <w:rsid w:val="00497685"/>
    <w:rsid w:val="004A16BB"/>
    <w:rsid w:val="004A4EDB"/>
    <w:rsid w:val="004A5A25"/>
    <w:rsid w:val="004A5AEE"/>
    <w:rsid w:val="004A6E5F"/>
    <w:rsid w:val="004B015E"/>
    <w:rsid w:val="004B1B68"/>
    <w:rsid w:val="004B1C77"/>
    <w:rsid w:val="004B4681"/>
    <w:rsid w:val="004B5E96"/>
    <w:rsid w:val="004B6D02"/>
    <w:rsid w:val="004C0347"/>
    <w:rsid w:val="004C1338"/>
    <w:rsid w:val="004C2B27"/>
    <w:rsid w:val="004C5AEC"/>
    <w:rsid w:val="004C71DF"/>
    <w:rsid w:val="004D0CD4"/>
    <w:rsid w:val="004D23ED"/>
    <w:rsid w:val="004D4603"/>
    <w:rsid w:val="004D5B10"/>
    <w:rsid w:val="004D6EDB"/>
    <w:rsid w:val="004E1421"/>
    <w:rsid w:val="004E188A"/>
    <w:rsid w:val="004E2235"/>
    <w:rsid w:val="004E2C33"/>
    <w:rsid w:val="004E3FF0"/>
    <w:rsid w:val="004E53B4"/>
    <w:rsid w:val="004E7468"/>
    <w:rsid w:val="004F02DD"/>
    <w:rsid w:val="004F0E5B"/>
    <w:rsid w:val="004F227A"/>
    <w:rsid w:val="004F27B8"/>
    <w:rsid w:val="004F2C8B"/>
    <w:rsid w:val="004F3E78"/>
    <w:rsid w:val="004F4542"/>
    <w:rsid w:val="004F4E4B"/>
    <w:rsid w:val="004F4FE9"/>
    <w:rsid w:val="004F5E8E"/>
    <w:rsid w:val="004F74D4"/>
    <w:rsid w:val="004F7ACF"/>
    <w:rsid w:val="005005A2"/>
    <w:rsid w:val="0050118D"/>
    <w:rsid w:val="00501BB0"/>
    <w:rsid w:val="00504B80"/>
    <w:rsid w:val="005068A2"/>
    <w:rsid w:val="00507715"/>
    <w:rsid w:val="00507F52"/>
    <w:rsid w:val="005103EF"/>
    <w:rsid w:val="00511BE0"/>
    <w:rsid w:val="005164D5"/>
    <w:rsid w:val="00520B0B"/>
    <w:rsid w:val="005230BE"/>
    <w:rsid w:val="0052357A"/>
    <w:rsid w:val="00526E35"/>
    <w:rsid w:val="00527649"/>
    <w:rsid w:val="0052764C"/>
    <w:rsid w:val="00530D4B"/>
    <w:rsid w:val="00531CF8"/>
    <w:rsid w:val="00534F99"/>
    <w:rsid w:val="005356CC"/>
    <w:rsid w:val="00535EB6"/>
    <w:rsid w:val="00536330"/>
    <w:rsid w:val="0053653E"/>
    <w:rsid w:val="005378AF"/>
    <w:rsid w:val="00537959"/>
    <w:rsid w:val="00540921"/>
    <w:rsid w:val="00540B38"/>
    <w:rsid w:val="005447AB"/>
    <w:rsid w:val="00544B7C"/>
    <w:rsid w:val="005465B7"/>
    <w:rsid w:val="005468A9"/>
    <w:rsid w:val="00546932"/>
    <w:rsid w:val="00547A53"/>
    <w:rsid w:val="005503CD"/>
    <w:rsid w:val="005505D9"/>
    <w:rsid w:val="0055351D"/>
    <w:rsid w:val="0056032F"/>
    <w:rsid w:val="00561607"/>
    <w:rsid w:val="00562DED"/>
    <w:rsid w:val="00563286"/>
    <w:rsid w:val="00566188"/>
    <w:rsid w:val="00570FF8"/>
    <w:rsid w:val="00572C66"/>
    <w:rsid w:val="005735DC"/>
    <w:rsid w:val="00574F36"/>
    <w:rsid w:val="00575082"/>
    <w:rsid w:val="005752ED"/>
    <w:rsid w:val="00577305"/>
    <w:rsid w:val="005830DB"/>
    <w:rsid w:val="00584490"/>
    <w:rsid w:val="00590B87"/>
    <w:rsid w:val="00591A1D"/>
    <w:rsid w:val="0059745A"/>
    <w:rsid w:val="005A0983"/>
    <w:rsid w:val="005A1936"/>
    <w:rsid w:val="005A29AD"/>
    <w:rsid w:val="005A4618"/>
    <w:rsid w:val="005A4D71"/>
    <w:rsid w:val="005B0D6A"/>
    <w:rsid w:val="005B1C28"/>
    <w:rsid w:val="005B4142"/>
    <w:rsid w:val="005B454E"/>
    <w:rsid w:val="005B4B63"/>
    <w:rsid w:val="005C450F"/>
    <w:rsid w:val="005C6585"/>
    <w:rsid w:val="005C6B2A"/>
    <w:rsid w:val="005C7F03"/>
    <w:rsid w:val="005D0969"/>
    <w:rsid w:val="005D161F"/>
    <w:rsid w:val="005D1FD2"/>
    <w:rsid w:val="005D264A"/>
    <w:rsid w:val="005D3A78"/>
    <w:rsid w:val="005D4E6A"/>
    <w:rsid w:val="005E2638"/>
    <w:rsid w:val="005E2C41"/>
    <w:rsid w:val="005E2DF6"/>
    <w:rsid w:val="005E3ADD"/>
    <w:rsid w:val="005E3E96"/>
    <w:rsid w:val="005E4BEC"/>
    <w:rsid w:val="005E70C6"/>
    <w:rsid w:val="005E7630"/>
    <w:rsid w:val="005F00CB"/>
    <w:rsid w:val="005F2D5D"/>
    <w:rsid w:val="005F5BCE"/>
    <w:rsid w:val="005F5C28"/>
    <w:rsid w:val="00600F95"/>
    <w:rsid w:val="006012FD"/>
    <w:rsid w:val="00602E27"/>
    <w:rsid w:val="00607BB9"/>
    <w:rsid w:val="00610E9E"/>
    <w:rsid w:val="00611291"/>
    <w:rsid w:val="00613275"/>
    <w:rsid w:val="00614369"/>
    <w:rsid w:val="00614D19"/>
    <w:rsid w:val="00614EAB"/>
    <w:rsid w:val="0061597F"/>
    <w:rsid w:val="00615FFC"/>
    <w:rsid w:val="00620E5D"/>
    <w:rsid w:val="00622521"/>
    <w:rsid w:val="00622A26"/>
    <w:rsid w:val="00624C8F"/>
    <w:rsid w:val="00624EEB"/>
    <w:rsid w:val="00630399"/>
    <w:rsid w:val="00631D90"/>
    <w:rsid w:val="00633340"/>
    <w:rsid w:val="00635EC4"/>
    <w:rsid w:val="006377E9"/>
    <w:rsid w:val="006406F0"/>
    <w:rsid w:val="006407C0"/>
    <w:rsid w:val="00641CF9"/>
    <w:rsid w:val="006421A3"/>
    <w:rsid w:val="006429B3"/>
    <w:rsid w:val="006462DF"/>
    <w:rsid w:val="00647A57"/>
    <w:rsid w:val="00651D98"/>
    <w:rsid w:val="00653656"/>
    <w:rsid w:val="00654714"/>
    <w:rsid w:val="00657542"/>
    <w:rsid w:val="00665F2C"/>
    <w:rsid w:val="006660F2"/>
    <w:rsid w:val="00667502"/>
    <w:rsid w:val="00670FC7"/>
    <w:rsid w:val="0067163B"/>
    <w:rsid w:val="00674570"/>
    <w:rsid w:val="0067760A"/>
    <w:rsid w:val="00677660"/>
    <w:rsid w:val="00677AE7"/>
    <w:rsid w:val="0068195B"/>
    <w:rsid w:val="00681FAC"/>
    <w:rsid w:val="00685A24"/>
    <w:rsid w:val="006860BB"/>
    <w:rsid w:val="00691906"/>
    <w:rsid w:val="00691D23"/>
    <w:rsid w:val="00694A4B"/>
    <w:rsid w:val="006967B8"/>
    <w:rsid w:val="00697636"/>
    <w:rsid w:val="006A2265"/>
    <w:rsid w:val="006A2B83"/>
    <w:rsid w:val="006A408F"/>
    <w:rsid w:val="006B42D8"/>
    <w:rsid w:val="006B4C3B"/>
    <w:rsid w:val="006B5631"/>
    <w:rsid w:val="006B7F3F"/>
    <w:rsid w:val="006C098F"/>
    <w:rsid w:val="006C0B47"/>
    <w:rsid w:val="006C2CFC"/>
    <w:rsid w:val="006D0ED7"/>
    <w:rsid w:val="006D1C55"/>
    <w:rsid w:val="006D3349"/>
    <w:rsid w:val="006D6C92"/>
    <w:rsid w:val="006E1664"/>
    <w:rsid w:val="006E16A3"/>
    <w:rsid w:val="006E36DE"/>
    <w:rsid w:val="006E4F99"/>
    <w:rsid w:val="006E57E2"/>
    <w:rsid w:val="006F03AE"/>
    <w:rsid w:val="006F2DCA"/>
    <w:rsid w:val="006F58FE"/>
    <w:rsid w:val="006F61C2"/>
    <w:rsid w:val="006F633B"/>
    <w:rsid w:val="00700976"/>
    <w:rsid w:val="007045AA"/>
    <w:rsid w:val="00712B7F"/>
    <w:rsid w:val="00716309"/>
    <w:rsid w:val="00717445"/>
    <w:rsid w:val="00717D3B"/>
    <w:rsid w:val="00720502"/>
    <w:rsid w:val="007227DD"/>
    <w:rsid w:val="00723C3A"/>
    <w:rsid w:val="0072479C"/>
    <w:rsid w:val="00726A03"/>
    <w:rsid w:val="00730D79"/>
    <w:rsid w:val="00732623"/>
    <w:rsid w:val="00733AE9"/>
    <w:rsid w:val="007340ED"/>
    <w:rsid w:val="007350A3"/>
    <w:rsid w:val="007373D0"/>
    <w:rsid w:val="007377B8"/>
    <w:rsid w:val="00740650"/>
    <w:rsid w:val="0074100D"/>
    <w:rsid w:val="00741B3E"/>
    <w:rsid w:val="007443E2"/>
    <w:rsid w:val="0074635A"/>
    <w:rsid w:val="0075028F"/>
    <w:rsid w:val="00750CA5"/>
    <w:rsid w:val="0075141D"/>
    <w:rsid w:val="007538A4"/>
    <w:rsid w:val="0075503D"/>
    <w:rsid w:val="00756F28"/>
    <w:rsid w:val="007614E2"/>
    <w:rsid w:val="00761601"/>
    <w:rsid w:val="00763945"/>
    <w:rsid w:val="00765749"/>
    <w:rsid w:val="00766A76"/>
    <w:rsid w:val="0076771A"/>
    <w:rsid w:val="007705D0"/>
    <w:rsid w:val="00771EAF"/>
    <w:rsid w:val="00774A47"/>
    <w:rsid w:val="00775D5B"/>
    <w:rsid w:val="00782FC2"/>
    <w:rsid w:val="0078324B"/>
    <w:rsid w:val="0078481D"/>
    <w:rsid w:val="007872B5"/>
    <w:rsid w:val="00790EF3"/>
    <w:rsid w:val="00791377"/>
    <w:rsid w:val="00791A67"/>
    <w:rsid w:val="00791F39"/>
    <w:rsid w:val="00792364"/>
    <w:rsid w:val="00797260"/>
    <w:rsid w:val="00797831"/>
    <w:rsid w:val="007A6579"/>
    <w:rsid w:val="007A7675"/>
    <w:rsid w:val="007B0C5E"/>
    <w:rsid w:val="007B156A"/>
    <w:rsid w:val="007B2B81"/>
    <w:rsid w:val="007B34FE"/>
    <w:rsid w:val="007B37A0"/>
    <w:rsid w:val="007B3BE5"/>
    <w:rsid w:val="007B5C2A"/>
    <w:rsid w:val="007B60CA"/>
    <w:rsid w:val="007B68D8"/>
    <w:rsid w:val="007B6E3C"/>
    <w:rsid w:val="007B72DE"/>
    <w:rsid w:val="007C32AB"/>
    <w:rsid w:val="007C421E"/>
    <w:rsid w:val="007C5260"/>
    <w:rsid w:val="007C62B0"/>
    <w:rsid w:val="007D197E"/>
    <w:rsid w:val="007D5CA6"/>
    <w:rsid w:val="007D6441"/>
    <w:rsid w:val="007E0647"/>
    <w:rsid w:val="007E1C6F"/>
    <w:rsid w:val="007E5288"/>
    <w:rsid w:val="007F4C71"/>
    <w:rsid w:val="00800EA2"/>
    <w:rsid w:val="00801629"/>
    <w:rsid w:val="00801924"/>
    <w:rsid w:val="00802C73"/>
    <w:rsid w:val="0080304B"/>
    <w:rsid w:val="00811539"/>
    <w:rsid w:val="00811EA8"/>
    <w:rsid w:val="00812F74"/>
    <w:rsid w:val="00813530"/>
    <w:rsid w:val="00814291"/>
    <w:rsid w:val="00815708"/>
    <w:rsid w:val="008169F6"/>
    <w:rsid w:val="00816CE2"/>
    <w:rsid w:val="00816CF9"/>
    <w:rsid w:val="00821251"/>
    <w:rsid w:val="00824C24"/>
    <w:rsid w:val="00826C27"/>
    <w:rsid w:val="00827B26"/>
    <w:rsid w:val="00830501"/>
    <w:rsid w:val="00832260"/>
    <w:rsid w:val="00832D34"/>
    <w:rsid w:val="008334A2"/>
    <w:rsid w:val="00833C2E"/>
    <w:rsid w:val="00834185"/>
    <w:rsid w:val="00834411"/>
    <w:rsid w:val="00836865"/>
    <w:rsid w:val="00837708"/>
    <w:rsid w:val="008404F9"/>
    <w:rsid w:val="00845242"/>
    <w:rsid w:val="00846E0E"/>
    <w:rsid w:val="00851B42"/>
    <w:rsid w:val="00852C61"/>
    <w:rsid w:val="008554BE"/>
    <w:rsid w:val="008565B5"/>
    <w:rsid w:val="008618BF"/>
    <w:rsid w:val="00861F7C"/>
    <w:rsid w:val="0086449B"/>
    <w:rsid w:val="008653B8"/>
    <w:rsid w:val="00866D11"/>
    <w:rsid w:val="00866F67"/>
    <w:rsid w:val="00867591"/>
    <w:rsid w:val="00871C43"/>
    <w:rsid w:val="008826F0"/>
    <w:rsid w:val="00883C18"/>
    <w:rsid w:val="008869E1"/>
    <w:rsid w:val="00887BD4"/>
    <w:rsid w:val="00890833"/>
    <w:rsid w:val="00893523"/>
    <w:rsid w:val="00893B1B"/>
    <w:rsid w:val="008946DB"/>
    <w:rsid w:val="008A2094"/>
    <w:rsid w:val="008A224C"/>
    <w:rsid w:val="008A4654"/>
    <w:rsid w:val="008A467E"/>
    <w:rsid w:val="008A5745"/>
    <w:rsid w:val="008B3723"/>
    <w:rsid w:val="008B38C8"/>
    <w:rsid w:val="008B3981"/>
    <w:rsid w:val="008B3C57"/>
    <w:rsid w:val="008B4C60"/>
    <w:rsid w:val="008B6766"/>
    <w:rsid w:val="008C2A8E"/>
    <w:rsid w:val="008C35EC"/>
    <w:rsid w:val="008C4F7E"/>
    <w:rsid w:val="008C505A"/>
    <w:rsid w:val="008C6F1A"/>
    <w:rsid w:val="008C7C60"/>
    <w:rsid w:val="008D202B"/>
    <w:rsid w:val="008D2DCB"/>
    <w:rsid w:val="008D2F5F"/>
    <w:rsid w:val="008D445D"/>
    <w:rsid w:val="008D531B"/>
    <w:rsid w:val="008E382D"/>
    <w:rsid w:val="008E612B"/>
    <w:rsid w:val="008E6B67"/>
    <w:rsid w:val="008E7835"/>
    <w:rsid w:val="008F4FD9"/>
    <w:rsid w:val="008F5298"/>
    <w:rsid w:val="008F7666"/>
    <w:rsid w:val="0090043D"/>
    <w:rsid w:val="00900CC8"/>
    <w:rsid w:val="009050C4"/>
    <w:rsid w:val="0090690C"/>
    <w:rsid w:val="009069DE"/>
    <w:rsid w:val="009077F8"/>
    <w:rsid w:val="00907AD4"/>
    <w:rsid w:val="00913483"/>
    <w:rsid w:val="00913FFA"/>
    <w:rsid w:val="009154EF"/>
    <w:rsid w:val="00916DC7"/>
    <w:rsid w:val="00920344"/>
    <w:rsid w:val="009243F7"/>
    <w:rsid w:val="009256DD"/>
    <w:rsid w:val="00925918"/>
    <w:rsid w:val="00925D6E"/>
    <w:rsid w:val="00930AD7"/>
    <w:rsid w:val="009317AC"/>
    <w:rsid w:val="00932B2E"/>
    <w:rsid w:val="00932EEA"/>
    <w:rsid w:val="0093336E"/>
    <w:rsid w:val="00933A6D"/>
    <w:rsid w:val="00935785"/>
    <w:rsid w:val="00935913"/>
    <w:rsid w:val="0094254C"/>
    <w:rsid w:val="00943AD2"/>
    <w:rsid w:val="00944B18"/>
    <w:rsid w:val="009625CC"/>
    <w:rsid w:val="00965C34"/>
    <w:rsid w:val="00966980"/>
    <w:rsid w:val="009701EA"/>
    <w:rsid w:val="00971483"/>
    <w:rsid w:val="009719A1"/>
    <w:rsid w:val="00972F93"/>
    <w:rsid w:val="009735FB"/>
    <w:rsid w:val="00973766"/>
    <w:rsid w:val="00976159"/>
    <w:rsid w:val="00976AFD"/>
    <w:rsid w:val="0097705D"/>
    <w:rsid w:val="00981DD2"/>
    <w:rsid w:val="009823E5"/>
    <w:rsid w:val="0098421B"/>
    <w:rsid w:val="009853BF"/>
    <w:rsid w:val="009876D6"/>
    <w:rsid w:val="00994C40"/>
    <w:rsid w:val="00995882"/>
    <w:rsid w:val="00997022"/>
    <w:rsid w:val="009A0AB9"/>
    <w:rsid w:val="009A0FA9"/>
    <w:rsid w:val="009A1200"/>
    <w:rsid w:val="009A7114"/>
    <w:rsid w:val="009B06DD"/>
    <w:rsid w:val="009B2984"/>
    <w:rsid w:val="009B35D9"/>
    <w:rsid w:val="009B3751"/>
    <w:rsid w:val="009B40D0"/>
    <w:rsid w:val="009C0F4C"/>
    <w:rsid w:val="009C2CCD"/>
    <w:rsid w:val="009C3B4B"/>
    <w:rsid w:val="009C4591"/>
    <w:rsid w:val="009C4E74"/>
    <w:rsid w:val="009C5FE6"/>
    <w:rsid w:val="009D13E7"/>
    <w:rsid w:val="009D2BC1"/>
    <w:rsid w:val="009D3BEC"/>
    <w:rsid w:val="009D40FC"/>
    <w:rsid w:val="009D5146"/>
    <w:rsid w:val="009D5C67"/>
    <w:rsid w:val="009D6079"/>
    <w:rsid w:val="009D64B0"/>
    <w:rsid w:val="009D73AB"/>
    <w:rsid w:val="009E0C77"/>
    <w:rsid w:val="009E494C"/>
    <w:rsid w:val="009E730F"/>
    <w:rsid w:val="009F06F6"/>
    <w:rsid w:val="009F3E8B"/>
    <w:rsid w:val="009F4532"/>
    <w:rsid w:val="00A00398"/>
    <w:rsid w:val="00A014AC"/>
    <w:rsid w:val="00A01676"/>
    <w:rsid w:val="00A0243D"/>
    <w:rsid w:val="00A054C7"/>
    <w:rsid w:val="00A054DD"/>
    <w:rsid w:val="00A06FD0"/>
    <w:rsid w:val="00A10CCA"/>
    <w:rsid w:val="00A1113E"/>
    <w:rsid w:val="00A1217B"/>
    <w:rsid w:val="00A126CF"/>
    <w:rsid w:val="00A12DB9"/>
    <w:rsid w:val="00A15294"/>
    <w:rsid w:val="00A20FE3"/>
    <w:rsid w:val="00A23D80"/>
    <w:rsid w:val="00A243E9"/>
    <w:rsid w:val="00A25306"/>
    <w:rsid w:val="00A25871"/>
    <w:rsid w:val="00A26D1A"/>
    <w:rsid w:val="00A31014"/>
    <w:rsid w:val="00A339C4"/>
    <w:rsid w:val="00A364E6"/>
    <w:rsid w:val="00A41AC3"/>
    <w:rsid w:val="00A422D0"/>
    <w:rsid w:val="00A52484"/>
    <w:rsid w:val="00A529EA"/>
    <w:rsid w:val="00A54AF3"/>
    <w:rsid w:val="00A54DF6"/>
    <w:rsid w:val="00A55A5A"/>
    <w:rsid w:val="00A55CC4"/>
    <w:rsid w:val="00A56B57"/>
    <w:rsid w:val="00A56B8B"/>
    <w:rsid w:val="00A6018D"/>
    <w:rsid w:val="00A60EE8"/>
    <w:rsid w:val="00A60FB1"/>
    <w:rsid w:val="00A62BCC"/>
    <w:rsid w:val="00A62C59"/>
    <w:rsid w:val="00A67196"/>
    <w:rsid w:val="00A709F3"/>
    <w:rsid w:val="00A74363"/>
    <w:rsid w:val="00A743B6"/>
    <w:rsid w:val="00A7526E"/>
    <w:rsid w:val="00A757BB"/>
    <w:rsid w:val="00A7581B"/>
    <w:rsid w:val="00A817BD"/>
    <w:rsid w:val="00A81E5B"/>
    <w:rsid w:val="00A82DF6"/>
    <w:rsid w:val="00A838BA"/>
    <w:rsid w:val="00A839D2"/>
    <w:rsid w:val="00A842B9"/>
    <w:rsid w:val="00A84854"/>
    <w:rsid w:val="00A855A1"/>
    <w:rsid w:val="00A901D9"/>
    <w:rsid w:val="00A901F3"/>
    <w:rsid w:val="00A904C1"/>
    <w:rsid w:val="00A91319"/>
    <w:rsid w:val="00A97225"/>
    <w:rsid w:val="00A9785F"/>
    <w:rsid w:val="00AA127F"/>
    <w:rsid w:val="00AA2E5A"/>
    <w:rsid w:val="00AA39A2"/>
    <w:rsid w:val="00AA4294"/>
    <w:rsid w:val="00AA49A6"/>
    <w:rsid w:val="00AA7380"/>
    <w:rsid w:val="00AB1856"/>
    <w:rsid w:val="00AB3C9F"/>
    <w:rsid w:val="00AC25B7"/>
    <w:rsid w:val="00AC263B"/>
    <w:rsid w:val="00AC3B2E"/>
    <w:rsid w:val="00AC44CA"/>
    <w:rsid w:val="00AC533B"/>
    <w:rsid w:val="00AC597B"/>
    <w:rsid w:val="00AC59C7"/>
    <w:rsid w:val="00AC613E"/>
    <w:rsid w:val="00AC7196"/>
    <w:rsid w:val="00AD0060"/>
    <w:rsid w:val="00AD66C5"/>
    <w:rsid w:val="00AD74F9"/>
    <w:rsid w:val="00AD7767"/>
    <w:rsid w:val="00AE2D9E"/>
    <w:rsid w:val="00AE2EC7"/>
    <w:rsid w:val="00AE5E77"/>
    <w:rsid w:val="00AF057D"/>
    <w:rsid w:val="00AF28A4"/>
    <w:rsid w:val="00AF3285"/>
    <w:rsid w:val="00AF4B9A"/>
    <w:rsid w:val="00AF4FBC"/>
    <w:rsid w:val="00AF7E1E"/>
    <w:rsid w:val="00AF7FCC"/>
    <w:rsid w:val="00B0078E"/>
    <w:rsid w:val="00B031D2"/>
    <w:rsid w:val="00B0405E"/>
    <w:rsid w:val="00B04DDE"/>
    <w:rsid w:val="00B06915"/>
    <w:rsid w:val="00B06974"/>
    <w:rsid w:val="00B115B6"/>
    <w:rsid w:val="00B11CAF"/>
    <w:rsid w:val="00B13C4D"/>
    <w:rsid w:val="00B2275C"/>
    <w:rsid w:val="00B23EB1"/>
    <w:rsid w:val="00B24A85"/>
    <w:rsid w:val="00B253D2"/>
    <w:rsid w:val="00B2601F"/>
    <w:rsid w:val="00B2673C"/>
    <w:rsid w:val="00B27C99"/>
    <w:rsid w:val="00B300C1"/>
    <w:rsid w:val="00B30DBB"/>
    <w:rsid w:val="00B31FE8"/>
    <w:rsid w:val="00B332C3"/>
    <w:rsid w:val="00B33896"/>
    <w:rsid w:val="00B34F6C"/>
    <w:rsid w:val="00B379D0"/>
    <w:rsid w:val="00B40726"/>
    <w:rsid w:val="00B44EFA"/>
    <w:rsid w:val="00B456AC"/>
    <w:rsid w:val="00B456CE"/>
    <w:rsid w:val="00B458F1"/>
    <w:rsid w:val="00B47FD2"/>
    <w:rsid w:val="00B50C16"/>
    <w:rsid w:val="00B5513F"/>
    <w:rsid w:val="00B603EF"/>
    <w:rsid w:val="00B60525"/>
    <w:rsid w:val="00B638DE"/>
    <w:rsid w:val="00B6406C"/>
    <w:rsid w:val="00B70FF1"/>
    <w:rsid w:val="00B736CB"/>
    <w:rsid w:val="00B7397C"/>
    <w:rsid w:val="00B750F2"/>
    <w:rsid w:val="00B8025D"/>
    <w:rsid w:val="00B873B2"/>
    <w:rsid w:val="00B903A6"/>
    <w:rsid w:val="00B90E6A"/>
    <w:rsid w:val="00B91EEC"/>
    <w:rsid w:val="00B953E3"/>
    <w:rsid w:val="00BA038E"/>
    <w:rsid w:val="00BA09AB"/>
    <w:rsid w:val="00BA150E"/>
    <w:rsid w:val="00BA29CA"/>
    <w:rsid w:val="00BA2A8C"/>
    <w:rsid w:val="00BA45BF"/>
    <w:rsid w:val="00BA52D7"/>
    <w:rsid w:val="00BA663D"/>
    <w:rsid w:val="00BB2E7A"/>
    <w:rsid w:val="00BB3B29"/>
    <w:rsid w:val="00BC3663"/>
    <w:rsid w:val="00BC49F1"/>
    <w:rsid w:val="00BC69B4"/>
    <w:rsid w:val="00BC750C"/>
    <w:rsid w:val="00BC7F18"/>
    <w:rsid w:val="00BD2D13"/>
    <w:rsid w:val="00BD3056"/>
    <w:rsid w:val="00BD3F0C"/>
    <w:rsid w:val="00BD58ED"/>
    <w:rsid w:val="00BD7C3A"/>
    <w:rsid w:val="00BE01DB"/>
    <w:rsid w:val="00BE2D0A"/>
    <w:rsid w:val="00BE4959"/>
    <w:rsid w:val="00BE566C"/>
    <w:rsid w:val="00BE751E"/>
    <w:rsid w:val="00BE7DC5"/>
    <w:rsid w:val="00BF01AE"/>
    <w:rsid w:val="00BF17F0"/>
    <w:rsid w:val="00BF1B59"/>
    <w:rsid w:val="00BF3D06"/>
    <w:rsid w:val="00BF4471"/>
    <w:rsid w:val="00BF7085"/>
    <w:rsid w:val="00C012BD"/>
    <w:rsid w:val="00C015DF"/>
    <w:rsid w:val="00C01EAC"/>
    <w:rsid w:val="00C01F17"/>
    <w:rsid w:val="00C02120"/>
    <w:rsid w:val="00C02598"/>
    <w:rsid w:val="00C04EDA"/>
    <w:rsid w:val="00C11DEB"/>
    <w:rsid w:val="00C15D98"/>
    <w:rsid w:val="00C17066"/>
    <w:rsid w:val="00C1783C"/>
    <w:rsid w:val="00C2122C"/>
    <w:rsid w:val="00C21B61"/>
    <w:rsid w:val="00C2453F"/>
    <w:rsid w:val="00C249FF"/>
    <w:rsid w:val="00C25C3F"/>
    <w:rsid w:val="00C304E7"/>
    <w:rsid w:val="00C32228"/>
    <w:rsid w:val="00C3249B"/>
    <w:rsid w:val="00C34D09"/>
    <w:rsid w:val="00C364F4"/>
    <w:rsid w:val="00C41FEA"/>
    <w:rsid w:val="00C4346C"/>
    <w:rsid w:val="00C43AFF"/>
    <w:rsid w:val="00C43FC0"/>
    <w:rsid w:val="00C446E3"/>
    <w:rsid w:val="00C44EF2"/>
    <w:rsid w:val="00C45C54"/>
    <w:rsid w:val="00C47476"/>
    <w:rsid w:val="00C477B3"/>
    <w:rsid w:val="00C47E2C"/>
    <w:rsid w:val="00C50122"/>
    <w:rsid w:val="00C51F60"/>
    <w:rsid w:val="00C52E62"/>
    <w:rsid w:val="00C5326D"/>
    <w:rsid w:val="00C61FB4"/>
    <w:rsid w:val="00C641C3"/>
    <w:rsid w:val="00C65558"/>
    <w:rsid w:val="00C71A95"/>
    <w:rsid w:val="00C72380"/>
    <w:rsid w:val="00C72FEA"/>
    <w:rsid w:val="00C77F8F"/>
    <w:rsid w:val="00C806E0"/>
    <w:rsid w:val="00C82612"/>
    <w:rsid w:val="00C85F79"/>
    <w:rsid w:val="00C869E9"/>
    <w:rsid w:val="00C86E59"/>
    <w:rsid w:val="00C873EC"/>
    <w:rsid w:val="00C90162"/>
    <w:rsid w:val="00C918C6"/>
    <w:rsid w:val="00C91A8C"/>
    <w:rsid w:val="00C97327"/>
    <w:rsid w:val="00C977D9"/>
    <w:rsid w:val="00CA3190"/>
    <w:rsid w:val="00CA57CC"/>
    <w:rsid w:val="00CA5958"/>
    <w:rsid w:val="00CA5C9C"/>
    <w:rsid w:val="00CB2438"/>
    <w:rsid w:val="00CB4F35"/>
    <w:rsid w:val="00CB4F68"/>
    <w:rsid w:val="00CB54C3"/>
    <w:rsid w:val="00CB7315"/>
    <w:rsid w:val="00CB73E9"/>
    <w:rsid w:val="00CC0FAA"/>
    <w:rsid w:val="00CC1FB9"/>
    <w:rsid w:val="00CC7343"/>
    <w:rsid w:val="00CD0771"/>
    <w:rsid w:val="00CD21BE"/>
    <w:rsid w:val="00CD28C7"/>
    <w:rsid w:val="00CD35CB"/>
    <w:rsid w:val="00CD3A30"/>
    <w:rsid w:val="00CD3FF7"/>
    <w:rsid w:val="00CD670F"/>
    <w:rsid w:val="00CD79DE"/>
    <w:rsid w:val="00CE03C5"/>
    <w:rsid w:val="00CE0A7A"/>
    <w:rsid w:val="00CE0B8A"/>
    <w:rsid w:val="00CE21B1"/>
    <w:rsid w:val="00CF1DEA"/>
    <w:rsid w:val="00CF2C3E"/>
    <w:rsid w:val="00CF3506"/>
    <w:rsid w:val="00CF4DC7"/>
    <w:rsid w:val="00CF6460"/>
    <w:rsid w:val="00CF6B89"/>
    <w:rsid w:val="00D00EFC"/>
    <w:rsid w:val="00D02A57"/>
    <w:rsid w:val="00D0595A"/>
    <w:rsid w:val="00D0647E"/>
    <w:rsid w:val="00D06BCD"/>
    <w:rsid w:val="00D06DC0"/>
    <w:rsid w:val="00D11845"/>
    <w:rsid w:val="00D12465"/>
    <w:rsid w:val="00D12B12"/>
    <w:rsid w:val="00D13D3A"/>
    <w:rsid w:val="00D14313"/>
    <w:rsid w:val="00D15DBD"/>
    <w:rsid w:val="00D20A7E"/>
    <w:rsid w:val="00D21B51"/>
    <w:rsid w:val="00D21E0C"/>
    <w:rsid w:val="00D23DAA"/>
    <w:rsid w:val="00D26C8F"/>
    <w:rsid w:val="00D31635"/>
    <w:rsid w:val="00D31F3C"/>
    <w:rsid w:val="00D332C3"/>
    <w:rsid w:val="00D352D8"/>
    <w:rsid w:val="00D3737A"/>
    <w:rsid w:val="00D44113"/>
    <w:rsid w:val="00D446EA"/>
    <w:rsid w:val="00D50CDE"/>
    <w:rsid w:val="00D5173B"/>
    <w:rsid w:val="00D55D9B"/>
    <w:rsid w:val="00D61E15"/>
    <w:rsid w:val="00D66832"/>
    <w:rsid w:val="00D66A1A"/>
    <w:rsid w:val="00D67E23"/>
    <w:rsid w:val="00D70358"/>
    <w:rsid w:val="00D70881"/>
    <w:rsid w:val="00D70B68"/>
    <w:rsid w:val="00D73091"/>
    <w:rsid w:val="00D7338A"/>
    <w:rsid w:val="00D73414"/>
    <w:rsid w:val="00D7464A"/>
    <w:rsid w:val="00D762F1"/>
    <w:rsid w:val="00D771B3"/>
    <w:rsid w:val="00D8089C"/>
    <w:rsid w:val="00D846F2"/>
    <w:rsid w:val="00D87937"/>
    <w:rsid w:val="00D9183D"/>
    <w:rsid w:val="00D91B5F"/>
    <w:rsid w:val="00D9201B"/>
    <w:rsid w:val="00D937BA"/>
    <w:rsid w:val="00D96FF8"/>
    <w:rsid w:val="00D9704F"/>
    <w:rsid w:val="00D97E8D"/>
    <w:rsid w:val="00DA0490"/>
    <w:rsid w:val="00DA3552"/>
    <w:rsid w:val="00DA457D"/>
    <w:rsid w:val="00DA47A2"/>
    <w:rsid w:val="00DA4DA6"/>
    <w:rsid w:val="00DA7350"/>
    <w:rsid w:val="00DB2706"/>
    <w:rsid w:val="00DB332C"/>
    <w:rsid w:val="00DB392A"/>
    <w:rsid w:val="00DB7E00"/>
    <w:rsid w:val="00DC2378"/>
    <w:rsid w:val="00DC23AB"/>
    <w:rsid w:val="00DC6086"/>
    <w:rsid w:val="00DD1D84"/>
    <w:rsid w:val="00DD2021"/>
    <w:rsid w:val="00DD2E41"/>
    <w:rsid w:val="00DD36DA"/>
    <w:rsid w:val="00DD4ADF"/>
    <w:rsid w:val="00DE172A"/>
    <w:rsid w:val="00DE1F47"/>
    <w:rsid w:val="00DE2A5E"/>
    <w:rsid w:val="00DE4DF2"/>
    <w:rsid w:val="00DE532D"/>
    <w:rsid w:val="00DE54C5"/>
    <w:rsid w:val="00DE60A3"/>
    <w:rsid w:val="00DF1173"/>
    <w:rsid w:val="00DF5FAC"/>
    <w:rsid w:val="00E10800"/>
    <w:rsid w:val="00E12E60"/>
    <w:rsid w:val="00E152C6"/>
    <w:rsid w:val="00E16211"/>
    <w:rsid w:val="00E16476"/>
    <w:rsid w:val="00E17FCB"/>
    <w:rsid w:val="00E2022B"/>
    <w:rsid w:val="00E22D38"/>
    <w:rsid w:val="00E23F55"/>
    <w:rsid w:val="00E248E5"/>
    <w:rsid w:val="00E257C6"/>
    <w:rsid w:val="00E26AFA"/>
    <w:rsid w:val="00E3057A"/>
    <w:rsid w:val="00E34B11"/>
    <w:rsid w:val="00E34EFA"/>
    <w:rsid w:val="00E35EA9"/>
    <w:rsid w:val="00E36251"/>
    <w:rsid w:val="00E40576"/>
    <w:rsid w:val="00E45501"/>
    <w:rsid w:val="00E464F0"/>
    <w:rsid w:val="00E53DD3"/>
    <w:rsid w:val="00E545AF"/>
    <w:rsid w:val="00E56245"/>
    <w:rsid w:val="00E56723"/>
    <w:rsid w:val="00E575FE"/>
    <w:rsid w:val="00E60D7A"/>
    <w:rsid w:val="00E614B6"/>
    <w:rsid w:val="00E61A35"/>
    <w:rsid w:val="00E62124"/>
    <w:rsid w:val="00E622E2"/>
    <w:rsid w:val="00E63D98"/>
    <w:rsid w:val="00E642FB"/>
    <w:rsid w:val="00E66666"/>
    <w:rsid w:val="00E6712E"/>
    <w:rsid w:val="00E673FF"/>
    <w:rsid w:val="00E675BC"/>
    <w:rsid w:val="00E67D2A"/>
    <w:rsid w:val="00E73A23"/>
    <w:rsid w:val="00E76EC2"/>
    <w:rsid w:val="00E801B4"/>
    <w:rsid w:val="00E807F3"/>
    <w:rsid w:val="00E8103C"/>
    <w:rsid w:val="00E834BB"/>
    <w:rsid w:val="00E847EF"/>
    <w:rsid w:val="00E90853"/>
    <w:rsid w:val="00E9111B"/>
    <w:rsid w:val="00E91E8A"/>
    <w:rsid w:val="00E932FB"/>
    <w:rsid w:val="00E94047"/>
    <w:rsid w:val="00E947AD"/>
    <w:rsid w:val="00E963EF"/>
    <w:rsid w:val="00EA0AD4"/>
    <w:rsid w:val="00EA1125"/>
    <w:rsid w:val="00EA29D2"/>
    <w:rsid w:val="00EA2D7C"/>
    <w:rsid w:val="00EA3604"/>
    <w:rsid w:val="00EA3F8D"/>
    <w:rsid w:val="00EA4EA7"/>
    <w:rsid w:val="00EA586B"/>
    <w:rsid w:val="00EA633F"/>
    <w:rsid w:val="00EA7660"/>
    <w:rsid w:val="00EB218A"/>
    <w:rsid w:val="00EB28AC"/>
    <w:rsid w:val="00EB389B"/>
    <w:rsid w:val="00EB6194"/>
    <w:rsid w:val="00EB6871"/>
    <w:rsid w:val="00EB76DF"/>
    <w:rsid w:val="00EC11BF"/>
    <w:rsid w:val="00EC5757"/>
    <w:rsid w:val="00EC5A3C"/>
    <w:rsid w:val="00ED0018"/>
    <w:rsid w:val="00ED11B4"/>
    <w:rsid w:val="00ED1AA1"/>
    <w:rsid w:val="00ED48DD"/>
    <w:rsid w:val="00ED6741"/>
    <w:rsid w:val="00EE02CB"/>
    <w:rsid w:val="00EE0707"/>
    <w:rsid w:val="00EE4700"/>
    <w:rsid w:val="00EE4F26"/>
    <w:rsid w:val="00EF2E48"/>
    <w:rsid w:val="00EF50FC"/>
    <w:rsid w:val="00EF554C"/>
    <w:rsid w:val="00F0096B"/>
    <w:rsid w:val="00F0102C"/>
    <w:rsid w:val="00F04829"/>
    <w:rsid w:val="00F07070"/>
    <w:rsid w:val="00F072F3"/>
    <w:rsid w:val="00F11C2A"/>
    <w:rsid w:val="00F12E1C"/>
    <w:rsid w:val="00F12E43"/>
    <w:rsid w:val="00F1411C"/>
    <w:rsid w:val="00F15B14"/>
    <w:rsid w:val="00F25004"/>
    <w:rsid w:val="00F27E02"/>
    <w:rsid w:val="00F3030B"/>
    <w:rsid w:val="00F317AB"/>
    <w:rsid w:val="00F32F34"/>
    <w:rsid w:val="00F332FA"/>
    <w:rsid w:val="00F347C7"/>
    <w:rsid w:val="00F348E7"/>
    <w:rsid w:val="00F40315"/>
    <w:rsid w:val="00F40432"/>
    <w:rsid w:val="00F41219"/>
    <w:rsid w:val="00F42FD7"/>
    <w:rsid w:val="00F43DB6"/>
    <w:rsid w:val="00F518E1"/>
    <w:rsid w:val="00F522B9"/>
    <w:rsid w:val="00F52E6B"/>
    <w:rsid w:val="00F60949"/>
    <w:rsid w:val="00F60A36"/>
    <w:rsid w:val="00F622E6"/>
    <w:rsid w:val="00F65A16"/>
    <w:rsid w:val="00F71E16"/>
    <w:rsid w:val="00F73713"/>
    <w:rsid w:val="00F74BF4"/>
    <w:rsid w:val="00F80000"/>
    <w:rsid w:val="00F815D6"/>
    <w:rsid w:val="00F81F26"/>
    <w:rsid w:val="00F82722"/>
    <w:rsid w:val="00F84E92"/>
    <w:rsid w:val="00F85547"/>
    <w:rsid w:val="00F912F6"/>
    <w:rsid w:val="00F92235"/>
    <w:rsid w:val="00F927C7"/>
    <w:rsid w:val="00FA4207"/>
    <w:rsid w:val="00FA445B"/>
    <w:rsid w:val="00FA5B58"/>
    <w:rsid w:val="00FA5C65"/>
    <w:rsid w:val="00FA5EFF"/>
    <w:rsid w:val="00FB2CE5"/>
    <w:rsid w:val="00FB2E5B"/>
    <w:rsid w:val="00FB3379"/>
    <w:rsid w:val="00FB5F42"/>
    <w:rsid w:val="00FB62E2"/>
    <w:rsid w:val="00FC2419"/>
    <w:rsid w:val="00FC4174"/>
    <w:rsid w:val="00FC4580"/>
    <w:rsid w:val="00FC63A9"/>
    <w:rsid w:val="00FC6D10"/>
    <w:rsid w:val="00FC78E0"/>
    <w:rsid w:val="00FD154E"/>
    <w:rsid w:val="00FD1579"/>
    <w:rsid w:val="00FD2E16"/>
    <w:rsid w:val="00FE38A4"/>
    <w:rsid w:val="00FE3E93"/>
    <w:rsid w:val="00FE3EA6"/>
    <w:rsid w:val="00FE46F4"/>
    <w:rsid w:val="00FE526C"/>
    <w:rsid w:val="00FF1169"/>
    <w:rsid w:val="00FF6BDE"/>
    <w:rsid w:val="00FF7D73"/>
    <w:rsid w:val="00FF7EF5"/>
    <w:rsid w:val="00FF7FC1"/>
    <w:rsid w:val="02895B83"/>
    <w:rsid w:val="03E621C8"/>
    <w:rsid w:val="0458580D"/>
    <w:rsid w:val="08346591"/>
    <w:rsid w:val="0C7105D8"/>
    <w:rsid w:val="16334C97"/>
    <w:rsid w:val="1D621105"/>
    <w:rsid w:val="209B6D55"/>
    <w:rsid w:val="24BA45E7"/>
    <w:rsid w:val="2B8A1EA0"/>
    <w:rsid w:val="2BD90FBB"/>
    <w:rsid w:val="2D9C536D"/>
    <w:rsid w:val="30D047F9"/>
    <w:rsid w:val="3F946CB2"/>
    <w:rsid w:val="40160E69"/>
    <w:rsid w:val="4592412E"/>
    <w:rsid w:val="486B5556"/>
    <w:rsid w:val="4D126529"/>
    <w:rsid w:val="57BB500C"/>
    <w:rsid w:val="5D964332"/>
    <w:rsid w:val="5F2E2567"/>
    <w:rsid w:val="5F677275"/>
    <w:rsid w:val="61412A26"/>
    <w:rsid w:val="63AC24D3"/>
    <w:rsid w:val="65EB2F60"/>
    <w:rsid w:val="67A7575C"/>
    <w:rsid w:val="699B2EEF"/>
    <w:rsid w:val="6CF72987"/>
    <w:rsid w:val="6D535020"/>
    <w:rsid w:val="6EBD6D49"/>
    <w:rsid w:val="705B5282"/>
    <w:rsid w:val="709366CE"/>
    <w:rsid w:val="7BEE33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D3E2AAD"/>
  <w15:docId w15:val="{56D976D9-8754-49B8-8723-39FED2EF0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uiPriority="39" w:unhideWhenUsed="1" w:qFormat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Dat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Balloon Text"/>
    <w:basedOn w:val="a"/>
    <w:link w:val="a6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b">
    <w:name w:val="Strong"/>
    <w:basedOn w:val="a0"/>
    <w:qFormat/>
    <w:rPr>
      <w:b/>
    </w:rPr>
  </w:style>
  <w:style w:type="character" w:styleId="ac">
    <w:name w:val="FollowedHyperlink"/>
    <w:basedOn w:val="a0"/>
    <w:qFormat/>
    <w:rPr>
      <w:rFonts w:ascii="微软雅黑" w:eastAsia="微软雅黑" w:hAnsi="微软雅黑" w:cs="微软雅黑" w:hint="eastAsia"/>
      <w:color w:val="333333"/>
      <w:sz w:val="21"/>
      <w:szCs w:val="21"/>
      <w:u w:val="none"/>
    </w:rPr>
  </w:style>
  <w:style w:type="character" w:styleId="ad">
    <w:name w:val="Hyperlink"/>
    <w:basedOn w:val="a0"/>
    <w:uiPriority w:val="99"/>
    <w:qFormat/>
    <w:rPr>
      <w:rFonts w:ascii="微软雅黑" w:eastAsia="微软雅黑" w:hAnsi="微软雅黑" w:cs="微软雅黑"/>
      <w:color w:val="333333"/>
      <w:sz w:val="21"/>
      <w:szCs w:val="21"/>
      <w:u w:val="none"/>
    </w:rPr>
  </w:style>
  <w:style w:type="character" w:customStyle="1" w:styleId="item-name">
    <w:name w:val="item-name"/>
    <w:basedOn w:val="a0"/>
    <w:qFormat/>
  </w:style>
  <w:style w:type="character" w:customStyle="1" w:styleId="item-name1">
    <w:name w:val="item-name1"/>
    <w:basedOn w:val="a0"/>
    <w:qFormat/>
  </w:style>
  <w:style w:type="character" w:customStyle="1" w:styleId="item-name2">
    <w:name w:val="item-name2"/>
    <w:basedOn w:val="a0"/>
    <w:qFormat/>
    <w:rPr>
      <w:color w:val="FFFFFF"/>
      <w:sz w:val="22"/>
      <w:szCs w:val="22"/>
    </w:rPr>
  </w:style>
  <w:style w:type="character" w:customStyle="1" w:styleId="item-name3">
    <w:name w:val="item-name3"/>
    <w:basedOn w:val="a0"/>
    <w:qFormat/>
  </w:style>
  <w:style w:type="character" w:customStyle="1" w:styleId="newsmeta">
    <w:name w:val="news_meta"/>
    <w:basedOn w:val="a0"/>
    <w:qFormat/>
  </w:style>
  <w:style w:type="character" w:customStyle="1" w:styleId="newstitle">
    <w:name w:val="news_title"/>
    <w:basedOn w:val="a0"/>
    <w:qFormat/>
  </w:style>
  <w:style w:type="character" w:customStyle="1" w:styleId="column-name">
    <w:name w:val="column-name"/>
    <w:basedOn w:val="a0"/>
    <w:qFormat/>
    <w:rPr>
      <w:color w:val="124D83"/>
    </w:rPr>
  </w:style>
  <w:style w:type="character" w:customStyle="1" w:styleId="column-name1">
    <w:name w:val="column-name1"/>
    <w:basedOn w:val="a0"/>
    <w:qFormat/>
    <w:rPr>
      <w:color w:val="124D83"/>
    </w:rPr>
  </w:style>
  <w:style w:type="character" w:customStyle="1" w:styleId="column-name2">
    <w:name w:val="column-name2"/>
    <w:basedOn w:val="a0"/>
    <w:qFormat/>
    <w:rPr>
      <w:color w:val="124D83"/>
    </w:rPr>
  </w:style>
  <w:style w:type="character" w:customStyle="1" w:styleId="column-name3">
    <w:name w:val="column-name3"/>
    <w:basedOn w:val="a0"/>
    <w:qFormat/>
    <w:rPr>
      <w:color w:val="124D83"/>
    </w:rPr>
  </w:style>
  <w:style w:type="character" w:customStyle="1" w:styleId="column-name4">
    <w:name w:val="column-name4"/>
    <w:basedOn w:val="a0"/>
    <w:qFormat/>
    <w:rPr>
      <w:color w:val="124D83"/>
    </w:rPr>
  </w:style>
  <w:style w:type="character" w:customStyle="1" w:styleId="moretext2">
    <w:name w:val="more_text2"/>
    <w:basedOn w:val="a0"/>
    <w:qFormat/>
    <w:rPr>
      <w:rFonts w:ascii="宋体" w:eastAsia="宋体" w:hAnsi="宋体" w:cs="宋体" w:hint="eastAsia"/>
      <w:color w:val="A7A7A7"/>
      <w:sz w:val="18"/>
      <w:szCs w:val="18"/>
    </w:rPr>
  </w:style>
  <w:style w:type="character" w:customStyle="1" w:styleId="aa">
    <w:name w:val="页眉 字符"/>
    <w:basedOn w:val="a0"/>
    <w:link w:val="a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8">
    <w:name w:val="页脚 字符"/>
    <w:basedOn w:val="a0"/>
    <w:link w:val="a7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日期 字符"/>
    <w:basedOn w:val="a0"/>
    <w:link w:val="a3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a6">
    <w:name w:val="批注框文本 字符"/>
    <w:basedOn w:val="a0"/>
    <w:link w:val="a5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image" Target="media/image1.jpeg"/><Relationship Id="rId28" Type="http://schemas.openxmlformats.org/officeDocument/2006/relationships/footer" Target="footer2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esktop\0.doc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H:\&#26700;&#38754;\2024%20&#35780;&#20272;&#20013;&#24515;\2024%20&#35838;&#31243;&#32771;&#26680;&#19987;&#39033;&#26816;&#26597;\&#35838;&#31243;&#32771;&#26680;&#26816;&#26597;&#25253;&#21578;\&#35838;&#31243;&#32771;&#26680;&#19987;&#39033;&#26816;&#26597;&#35780;&#20998;&#34920;&#21407;&#22987;&#25968;&#25454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H:\&#26700;&#38754;\2024%20&#35780;&#20272;&#20013;&#24515;\2024%20&#35838;&#31243;&#32771;&#26680;&#19987;&#39033;&#26816;&#26597;\&#35838;&#31243;&#32771;&#26680;&#26816;&#26597;&#25253;&#21578;\&#35838;&#31243;&#32771;&#26680;&#19987;&#39033;&#26816;&#26597;&#35780;&#20998;&#34920;&#21407;&#22987;&#25968;&#25454;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H:\&#26700;&#38754;\2024%20&#35780;&#20272;&#20013;&#24515;\2024%20&#35838;&#31243;&#32771;&#26680;&#19987;&#39033;&#26816;&#26597;\&#35838;&#31243;&#32771;&#26680;&#26816;&#26597;&#25253;&#21578;\&#35838;&#31243;&#32771;&#26680;&#19987;&#39033;&#26816;&#26597;&#35780;&#20998;&#34920;&#21407;&#22987;&#25968;&#25454;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H:\&#26700;&#38754;\2024%20&#35780;&#20272;&#20013;&#24515;\2024%20&#35838;&#31243;&#32771;&#26680;&#19987;&#39033;&#26816;&#26597;\&#35838;&#31243;&#32771;&#26680;&#26816;&#26597;&#25253;&#21578;\&#35838;&#31243;&#32771;&#26680;&#19987;&#39033;&#26816;&#26597;&#35780;&#20998;&#34920;&#21407;&#22987;&#25968;&#25454;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H:\&#26700;&#38754;\2024%20&#35780;&#20272;&#20013;&#24515;\2024%20&#35838;&#31243;&#32771;&#26680;&#19987;&#39033;&#26816;&#26597;\&#35838;&#31243;&#32771;&#26680;&#26816;&#26597;&#25253;&#21578;\&#35838;&#31243;&#32771;&#26680;&#19987;&#39033;&#26816;&#26597;&#35780;&#20998;&#34920;&#21407;&#22987;&#25968;&#25454;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H:\&#26700;&#38754;\2024%20&#35780;&#20272;&#20013;&#24515;\2024%20&#35838;&#31243;&#32771;&#26680;&#19987;&#39033;&#26816;&#26597;\&#35838;&#31243;&#32771;&#26680;&#26816;&#26597;&#25253;&#21578;\&#35838;&#31243;&#32771;&#26680;&#19987;&#39033;&#26816;&#26597;&#35780;&#20998;&#34920;&#21407;&#22987;&#25968;&#25454;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H:\&#26700;&#38754;\2024%20&#35780;&#20272;&#20013;&#24515;\2024%20&#35838;&#31243;&#32771;&#26680;&#19987;&#39033;&#26816;&#26597;\&#35838;&#31243;&#32771;&#26680;&#26816;&#26597;&#25253;&#21578;\&#35838;&#31243;&#32771;&#26680;&#19987;&#39033;&#26816;&#26597;&#35780;&#20998;&#34920;&#21407;&#22987;&#25968;&#25454;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H:\&#26700;&#38754;\2024%20&#35780;&#20272;&#20013;&#24515;\2024%20&#35838;&#31243;&#32771;&#26680;&#19987;&#39033;&#26816;&#26597;\&#35838;&#31243;&#32771;&#26680;&#26816;&#26597;&#25253;&#21578;\&#35838;&#31243;&#32771;&#26680;&#19987;&#39033;&#26816;&#26597;&#35780;&#20998;&#34920;&#21407;&#22987;&#25968;&#25454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H:\&#26700;&#38754;\2024%20&#35780;&#20272;&#20013;&#24515;\2024%20&#35838;&#31243;&#32771;&#26680;&#19987;&#39033;&#26816;&#26597;\&#35838;&#31243;&#32771;&#26680;&#26816;&#26597;&#25253;&#21578;\&#35838;&#31243;&#32771;&#26680;&#19987;&#39033;&#26816;&#26597;&#35780;&#20998;&#34920;&#21407;&#22987;&#25968;&#25454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H:\&#26700;&#38754;\2024%20&#35780;&#20272;&#20013;&#24515;\2024%20&#35838;&#31243;&#32771;&#26680;&#19987;&#39033;&#26816;&#26597;\&#35838;&#31243;&#32771;&#26680;&#26816;&#26597;&#25253;&#21578;\&#35838;&#31243;&#32771;&#26680;&#19987;&#39033;&#26816;&#26597;&#35780;&#20998;&#34920;&#21407;&#22987;&#25968;&#25454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H:\&#26700;&#38754;\2024%20&#35780;&#20272;&#20013;&#24515;\2024%20&#35838;&#31243;&#32771;&#26680;&#19987;&#39033;&#26816;&#26597;\&#35838;&#31243;&#32771;&#26680;&#26816;&#26597;&#25253;&#21578;\&#35838;&#31243;&#32771;&#26680;&#19987;&#39033;&#26816;&#26597;&#35780;&#20998;&#34920;&#21407;&#22987;&#25968;&#25454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H:\&#26700;&#38754;\2024%20&#35780;&#20272;&#20013;&#24515;\2024%20&#35838;&#31243;&#32771;&#26680;&#19987;&#39033;&#26816;&#26597;\&#35838;&#31243;&#32771;&#26680;&#26816;&#26597;&#25253;&#21578;\&#35838;&#31243;&#32771;&#26680;&#19987;&#39033;&#26816;&#26597;&#35780;&#20998;&#34920;&#21407;&#22987;&#25968;&#25454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H:\&#26700;&#38754;\2024%20&#35780;&#20272;&#20013;&#24515;\2024%20&#35838;&#31243;&#32771;&#26680;&#19987;&#39033;&#26816;&#26597;\&#35838;&#31243;&#32771;&#26680;&#26816;&#26597;&#25253;&#21578;\&#35838;&#31243;&#32771;&#26680;&#19987;&#39033;&#26816;&#26597;&#35780;&#20998;&#34920;&#21407;&#22987;&#25968;&#25454;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H:\&#26700;&#38754;\2024%20&#35780;&#20272;&#20013;&#24515;\2024%20&#35838;&#31243;&#32771;&#26680;&#19987;&#39033;&#26816;&#26597;\&#35838;&#31243;&#32771;&#26680;&#26816;&#26597;&#25253;&#21578;\&#35838;&#31243;&#32771;&#26680;&#19987;&#39033;&#26816;&#26597;&#35780;&#20998;&#34920;&#21407;&#22987;&#25968;&#25454;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H:\&#26700;&#38754;\2024%20&#35780;&#20272;&#20013;&#24515;\2024%20&#35838;&#31243;&#32771;&#26680;&#19987;&#39033;&#26816;&#26597;\&#35838;&#31243;&#32771;&#26680;&#26816;&#26597;&#25253;&#21578;\&#35838;&#31243;&#32771;&#26680;&#19987;&#39033;&#26816;&#26597;&#35780;&#20998;&#34920;&#21407;&#22987;&#25968;&#25454;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综合总得分!$B$1</c:f>
              <c:strCache>
                <c:ptCount val="1"/>
                <c:pt idx="0">
                  <c:v>总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综合总得分!$A$2:$A$22</c:f>
              <c:strCache>
                <c:ptCount val="21"/>
                <c:pt idx="0">
                  <c:v>体育与健康科学学院</c:v>
                </c:pt>
                <c:pt idx="1">
                  <c:v>土木建筑工程学院</c:v>
                </c:pt>
                <c:pt idx="2">
                  <c:v>美术学院</c:v>
                </c:pt>
                <c:pt idx="3">
                  <c:v>数学与统计学院</c:v>
                </c:pt>
                <c:pt idx="4">
                  <c:v>音乐学院</c:v>
                </c:pt>
                <c:pt idx="5">
                  <c:v>传媒学院</c:v>
                </c:pt>
                <c:pt idx="6">
                  <c:v>管理学院</c:v>
                </c:pt>
                <c:pt idx="7">
                  <c:v>化学化工学院</c:v>
                </c:pt>
                <c:pt idx="8">
                  <c:v>材料科学与工程学院</c:v>
                </c:pt>
                <c:pt idx="9">
                  <c:v>现代农业与生物工程学院</c:v>
                </c:pt>
                <c:pt idx="10">
                  <c:v>文学院</c:v>
                </c:pt>
                <c:pt idx="11">
                  <c:v>财经学院</c:v>
                </c:pt>
                <c:pt idx="12">
                  <c:v>外国语学院</c:v>
                </c:pt>
                <c:pt idx="13">
                  <c:v>电子信息工程学院</c:v>
                </c:pt>
                <c:pt idx="14">
                  <c:v>机器人工程学院</c:v>
                </c:pt>
                <c:pt idx="15">
                  <c:v>大学外语教学科研部</c:v>
                </c:pt>
                <c:pt idx="16">
                  <c:v>教师教育学院</c:v>
                </c:pt>
                <c:pt idx="17">
                  <c:v>政治与历史学院</c:v>
                </c:pt>
                <c:pt idx="18">
                  <c:v>大数据与智能工程学院</c:v>
                </c:pt>
                <c:pt idx="19">
                  <c:v>绿色智慧环境学院</c:v>
                </c:pt>
                <c:pt idx="20">
                  <c:v>马克思主义学院</c:v>
                </c:pt>
              </c:strCache>
            </c:strRef>
          </c:cat>
          <c:val>
            <c:numRef>
              <c:f>综合总得分!$B$2:$B$22</c:f>
              <c:numCache>
                <c:formatCode>0.00_ </c:formatCode>
                <c:ptCount val="21"/>
                <c:pt idx="0">
                  <c:v>72.05</c:v>
                </c:pt>
                <c:pt idx="1">
                  <c:v>80.25</c:v>
                </c:pt>
                <c:pt idx="2">
                  <c:v>81.430000000000007</c:v>
                </c:pt>
                <c:pt idx="3">
                  <c:v>83.573333333333295</c:v>
                </c:pt>
                <c:pt idx="4">
                  <c:v>84.414285714285697</c:v>
                </c:pt>
                <c:pt idx="5">
                  <c:v>85.428571428571402</c:v>
                </c:pt>
                <c:pt idx="6">
                  <c:v>85.625</c:v>
                </c:pt>
                <c:pt idx="7">
                  <c:v>87.909090909091006</c:v>
                </c:pt>
                <c:pt idx="8">
                  <c:v>88.55</c:v>
                </c:pt>
                <c:pt idx="9">
                  <c:v>88.9375</c:v>
                </c:pt>
                <c:pt idx="10">
                  <c:v>89.768749999999997</c:v>
                </c:pt>
                <c:pt idx="11">
                  <c:v>90.527272727272702</c:v>
                </c:pt>
                <c:pt idx="12">
                  <c:v>90.88</c:v>
                </c:pt>
                <c:pt idx="13">
                  <c:v>91.036363636363703</c:v>
                </c:pt>
                <c:pt idx="14">
                  <c:v>91.24</c:v>
                </c:pt>
                <c:pt idx="15">
                  <c:v>91.257142857142895</c:v>
                </c:pt>
                <c:pt idx="16">
                  <c:v>91.34</c:v>
                </c:pt>
                <c:pt idx="17">
                  <c:v>91.38</c:v>
                </c:pt>
                <c:pt idx="18">
                  <c:v>91.38</c:v>
                </c:pt>
                <c:pt idx="19">
                  <c:v>91.555000000000007</c:v>
                </c:pt>
                <c:pt idx="20">
                  <c:v>92.363636363636402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30-4A66-A6F8-85DA350480C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935553008"/>
        <c:axId val="935556752"/>
      </c:barChart>
      <c:catAx>
        <c:axId val="9355530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35556752"/>
        <c:crosses val="autoZero"/>
        <c:auto val="1"/>
        <c:lblAlgn val="ctr"/>
        <c:lblOffset val="100"/>
        <c:noMultiLvlLbl val="0"/>
      </c:catAx>
      <c:valAx>
        <c:axId val="9355567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_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35553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'9'!$B$1</c:f>
              <c:strCache>
                <c:ptCount val="1"/>
                <c:pt idx="0">
                  <c:v>试卷评阅修改规范情况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'9'!$A$2:$A$22</c:f>
              <c:strCache>
                <c:ptCount val="21"/>
                <c:pt idx="0">
                  <c:v>体育与健康科学学院</c:v>
                </c:pt>
                <c:pt idx="1">
                  <c:v>土木建筑工程学院</c:v>
                </c:pt>
                <c:pt idx="2">
                  <c:v>美术学院</c:v>
                </c:pt>
                <c:pt idx="3">
                  <c:v>数学与统计学院</c:v>
                </c:pt>
                <c:pt idx="4">
                  <c:v>音乐学院</c:v>
                </c:pt>
                <c:pt idx="5">
                  <c:v>现代农业与生物工程学院</c:v>
                </c:pt>
                <c:pt idx="6">
                  <c:v>大学外语教学科研部</c:v>
                </c:pt>
                <c:pt idx="7">
                  <c:v>电子信息工程学院</c:v>
                </c:pt>
                <c:pt idx="8">
                  <c:v>大数据与智能工程学院</c:v>
                </c:pt>
                <c:pt idx="9">
                  <c:v>政治与历史学院</c:v>
                </c:pt>
                <c:pt idx="10">
                  <c:v>教师教育学院</c:v>
                </c:pt>
                <c:pt idx="11">
                  <c:v>机器人工程学院</c:v>
                </c:pt>
                <c:pt idx="12">
                  <c:v>马克思主义学院</c:v>
                </c:pt>
                <c:pt idx="13">
                  <c:v>外国语学院</c:v>
                </c:pt>
                <c:pt idx="14">
                  <c:v>绿色智慧环境学院</c:v>
                </c:pt>
                <c:pt idx="15">
                  <c:v>财经学院</c:v>
                </c:pt>
                <c:pt idx="16">
                  <c:v>传媒学院</c:v>
                </c:pt>
                <c:pt idx="17">
                  <c:v>材料科学与工程学院</c:v>
                </c:pt>
                <c:pt idx="18">
                  <c:v>管理学院</c:v>
                </c:pt>
                <c:pt idx="19">
                  <c:v>化学化工学院</c:v>
                </c:pt>
                <c:pt idx="20">
                  <c:v>文学院</c:v>
                </c:pt>
              </c:strCache>
            </c:strRef>
          </c:cat>
          <c:val>
            <c:numRef>
              <c:f>'9'!$B$2:$B$22</c:f>
              <c:numCache>
                <c:formatCode>0.00</c:formatCode>
                <c:ptCount val="21"/>
                <c:pt idx="0">
                  <c:v>67.5</c:v>
                </c:pt>
                <c:pt idx="1">
                  <c:v>68.75</c:v>
                </c:pt>
                <c:pt idx="2">
                  <c:v>79</c:v>
                </c:pt>
                <c:pt idx="3">
                  <c:v>85.3333333333334</c:v>
                </c:pt>
                <c:pt idx="4">
                  <c:v>85.714285714285793</c:v>
                </c:pt>
                <c:pt idx="5">
                  <c:v>87.5</c:v>
                </c:pt>
                <c:pt idx="6">
                  <c:v>88.571428571428598</c:v>
                </c:pt>
                <c:pt idx="7">
                  <c:v>89.090909090908994</c:v>
                </c:pt>
                <c:pt idx="8">
                  <c:v>90</c:v>
                </c:pt>
                <c:pt idx="9">
                  <c:v>90</c:v>
                </c:pt>
                <c:pt idx="10">
                  <c:v>90.588235294117695</c:v>
                </c:pt>
                <c:pt idx="11">
                  <c:v>92</c:v>
                </c:pt>
                <c:pt idx="12">
                  <c:v>92.727272727272805</c:v>
                </c:pt>
                <c:pt idx="13">
                  <c:v>94</c:v>
                </c:pt>
                <c:pt idx="14">
                  <c:v>95</c:v>
                </c:pt>
                <c:pt idx="15">
                  <c:v>96.363636363636402</c:v>
                </c:pt>
                <c:pt idx="16">
                  <c:v>97.142857142857196</c:v>
                </c:pt>
                <c:pt idx="17">
                  <c:v>97.5</c:v>
                </c:pt>
                <c:pt idx="18">
                  <c:v>97.5</c:v>
                </c:pt>
                <c:pt idx="19">
                  <c:v>98.181818181818201</c:v>
                </c:pt>
                <c:pt idx="2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93-4C58-BA9B-DBB4437C6E0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935553008"/>
        <c:axId val="935556752"/>
      </c:barChart>
      <c:catAx>
        <c:axId val="9355530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35556752"/>
        <c:crosses val="autoZero"/>
        <c:auto val="1"/>
        <c:lblAlgn val="ctr"/>
        <c:lblOffset val="100"/>
        <c:noMultiLvlLbl val="0"/>
      </c:catAx>
      <c:valAx>
        <c:axId val="9355567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35553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'9'!$B$1</c:f>
              <c:strCache>
                <c:ptCount val="1"/>
                <c:pt idx="0">
                  <c:v>试卷评阅修改规范情况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'9'!$A$2:$A$22</c:f>
              <c:strCache>
                <c:ptCount val="21"/>
                <c:pt idx="0">
                  <c:v>体育与健康科学学院</c:v>
                </c:pt>
                <c:pt idx="1">
                  <c:v>土木建筑工程学院</c:v>
                </c:pt>
                <c:pt idx="2">
                  <c:v>美术学院</c:v>
                </c:pt>
                <c:pt idx="3">
                  <c:v>数学与统计学院</c:v>
                </c:pt>
                <c:pt idx="4">
                  <c:v>音乐学院</c:v>
                </c:pt>
                <c:pt idx="5">
                  <c:v>现代农业与生物工程学院</c:v>
                </c:pt>
                <c:pt idx="6">
                  <c:v>大学外语教学科研部</c:v>
                </c:pt>
                <c:pt idx="7">
                  <c:v>电子信息工程学院</c:v>
                </c:pt>
                <c:pt idx="8">
                  <c:v>大数据与智能工程学院</c:v>
                </c:pt>
                <c:pt idx="9">
                  <c:v>政治与历史学院</c:v>
                </c:pt>
                <c:pt idx="10">
                  <c:v>教师教育学院</c:v>
                </c:pt>
                <c:pt idx="11">
                  <c:v>机器人工程学院</c:v>
                </c:pt>
                <c:pt idx="12">
                  <c:v>马克思主义学院</c:v>
                </c:pt>
                <c:pt idx="13">
                  <c:v>外国语学院</c:v>
                </c:pt>
                <c:pt idx="14">
                  <c:v>绿色智慧环境学院</c:v>
                </c:pt>
                <c:pt idx="15">
                  <c:v>财经学院</c:v>
                </c:pt>
                <c:pt idx="16">
                  <c:v>传媒学院</c:v>
                </c:pt>
                <c:pt idx="17">
                  <c:v>材料科学与工程学院</c:v>
                </c:pt>
                <c:pt idx="18">
                  <c:v>管理学院</c:v>
                </c:pt>
                <c:pt idx="19">
                  <c:v>化学化工学院</c:v>
                </c:pt>
                <c:pt idx="20">
                  <c:v>文学院</c:v>
                </c:pt>
              </c:strCache>
            </c:strRef>
          </c:cat>
          <c:val>
            <c:numRef>
              <c:f>'9'!$B$2:$B$22</c:f>
              <c:numCache>
                <c:formatCode>0.00</c:formatCode>
                <c:ptCount val="21"/>
                <c:pt idx="0">
                  <c:v>67.5</c:v>
                </c:pt>
                <c:pt idx="1">
                  <c:v>68.75</c:v>
                </c:pt>
                <c:pt idx="2">
                  <c:v>79</c:v>
                </c:pt>
                <c:pt idx="3">
                  <c:v>85.3333333333334</c:v>
                </c:pt>
                <c:pt idx="4">
                  <c:v>85.714285714285793</c:v>
                </c:pt>
                <c:pt idx="5">
                  <c:v>87.5</c:v>
                </c:pt>
                <c:pt idx="6">
                  <c:v>88.571428571428598</c:v>
                </c:pt>
                <c:pt idx="7">
                  <c:v>89.090909090908994</c:v>
                </c:pt>
                <c:pt idx="8">
                  <c:v>90</c:v>
                </c:pt>
                <c:pt idx="9">
                  <c:v>90</c:v>
                </c:pt>
                <c:pt idx="10">
                  <c:v>90.588235294117695</c:v>
                </c:pt>
                <c:pt idx="11">
                  <c:v>92</c:v>
                </c:pt>
                <c:pt idx="12">
                  <c:v>92.727272727272805</c:v>
                </c:pt>
                <c:pt idx="13">
                  <c:v>94</c:v>
                </c:pt>
                <c:pt idx="14">
                  <c:v>95</c:v>
                </c:pt>
                <c:pt idx="15">
                  <c:v>96.363636363636402</c:v>
                </c:pt>
                <c:pt idx="16">
                  <c:v>97.142857142857196</c:v>
                </c:pt>
                <c:pt idx="17">
                  <c:v>97.5</c:v>
                </c:pt>
                <c:pt idx="18">
                  <c:v>97.5</c:v>
                </c:pt>
                <c:pt idx="19">
                  <c:v>98.181818181818201</c:v>
                </c:pt>
                <c:pt idx="2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09-416F-BD14-B89B9A5D972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935553008"/>
        <c:axId val="935556752"/>
      </c:barChart>
      <c:catAx>
        <c:axId val="9355530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35556752"/>
        <c:crosses val="autoZero"/>
        <c:auto val="1"/>
        <c:lblAlgn val="ctr"/>
        <c:lblOffset val="100"/>
        <c:noMultiLvlLbl val="0"/>
      </c:catAx>
      <c:valAx>
        <c:axId val="9355567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35553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'11'!$B$1</c:f>
              <c:strCache>
                <c:ptCount val="1"/>
                <c:pt idx="0">
                  <c:v>平时考核（10）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'11'!$A$2:$A$22</c:f>
              <c:strCache>
                <c:ptCount val="21"/>
                <c:pt idx="0">
                  <c:v>数学与统计学院</c:v>
                </c:pt>
                <c:pt idx="1">
                  <c:v>材料科学与工程学院</c:v>
                </c:pt>
                <c:pt idx="2">
                  <c:v>体育与健康科学学院</c:v>
                </c:pt>
                <c:pt idx="3">
                  <c:v>现代农业与生物工程学院</c:v>
                </c:pt>
                <c:pt idx="4">
                  <c:v>化学化工学院</c:v>
                </c:pt>
                <c:pt idx="5">
                  <c:v>美术学院</c:v>
                </c:pt>
                <c:pt idx="6">
                  <c:v>财经学院</c:v>
                </c:pt>
                <c:pt idx="7">
                  <c:v>音乐学院</c:v>
                </c:pt>
                <c:pt idx="8">
                  <c:v>管理学院</c:v>
                </c:pt>
                <c:pt idx="9">
                  <c:v>土木建筑工程学院</c:v>
                </c:pt>
                <c:pt idx="10">
                  <c:v>绿色智慧环境学院</c:v>
                </c:pt>
                <c:pt idx="11">
                  <c:v>文学院</c:v>
                </c:pt>
                <c:pt idx="12">
                  <c:v>外国语学院</c:v>
                </c:pt>
                <c:pt idx="13">
                  <c:v>大学外语教学科研部</c:v>
                </c:pt>
                <c:pt idx="14">
                  <c:v>机器人工程学院</c:v>
                </c:pt>
                <c:pt idx="15">
                  <c:v>大数据与智能工程学院</c:v>
                </c:pt>
                <c:pt idx="16">
                  <c:v>传媒学院</c:v>
                </c:pt>
                <c:pt idx="17">
                  <c:v>教师教育学院</c:v>
                </c:pt>
                <c:pt idx="18">
                  <c:v>政治与历史学院</c:v>
                </c:pt>
                <c:pt idx="19">
                  <c:v>电子信息工程学院</c:v>
                </c:pt>
                <c:pt idx="20">
                  <c:v>马克思主义学院</c:v>
                </c:pt>
              </c:strCache>
            </c:strRef>
          </c:cat>
          <c:val>
            <c:numRef>
              <c:f>'11'!$B$2:$B$22</c:f>
              <c:numCache>
                <c:formatCode>0.00</c:formatCode>
                <c:ptCount val="21"/>
                <c:pt idx="0">
                  <c:v>56</c:v>
                </c:pt>
                <c:pt idx="1">
                  <c:v>70</c:v>
                </c:pt>
                <c:pt idx="2">
                  <c:v>70</c:v>
                </c:pt>
                <c:pt idx="3">
                  <c:v>73.75</c:v>
                </c:pt>
                <c:pt idx="4">
                  <c:v>76.363636363636402</c:v>
                </c:pt>
                <c:pt idx="5">
                  <c:v>77</c:v>
                </c:pt>
                <c:pt idx="6">
                  <c:v>77.272727272727295</c:v>
                </c:pt>
                <c:pt idx="7">
                  <c:v>81.428571428571402</c:v>
                </c:pt>
                <c:pt idx="8">
                  <c:v>82.5</c:v>
                </c:pt>
                <c:pt idx="9">
                  <c:v>83.75</c:v>
                </c:pt>
                <c:pt idx="10">
                  <c:v>90</c:v>
                </c:pt>
                <c:pt idx="11">
                  <c:v>90.625</c:v>
                </c:pt>
                <c:pt idx="12">
                  <c:v>92.25</c:v>
                </c:pt>
                <c:pt idx="13">
                  <c:v>92.857142857142904</c:v>
                </c:pt>
                <c:pt idx="14">
                  <c:v>93.3333333333333</c:v>
                </c:pt>
                <c:pt idx="15">
                  <c:v>93.75</c:v>
                </c:pt>
                <c:pt idx="16">
                  <c:v>94.285714285714306</c:v>
                </c:pt>
                <c:pt idx="17">
                  <c:v>95.294117647058798</c:v>
                </c:pt>
                <c:pt idx="18">
                  <c:v>96.25</c:v>
                </c:pt>
                <c:pt idx="19">
                  <c:v>98.181818181818201</c:v>
                </c:pt>
                <c:pt idx="2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698-4A82-BAA0-9CA66A2F619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935553008"/>
        <c:axId val="935556752"/>
      </c:barChart>
      <c:catAx>
        <c:axId val="9355530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35556752"/>
        <c:crosses val="autoZero"/>
        <c:auto val="1"/>
        <c:lblAlgn val="ctr"/>
        <c:lblOffset val="100"/>
        <c:noMultiLvlLbl val="0"/>
      </c:catAx>
      <c:valAx>
        <c:axId val="9355567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35553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'12'!$B$1</c:f>
              <c:strCache>
                <c:ptCount val="1"/>
                <c:pt idx="0">
                  <c:v>材料归档（5）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'12'!$A$2:$A$22</c:f>
              <c:strCache>
                <c:ptCount val="21"/>
                <c:pt idx="0">
                  <c:v>体育与健康科学学院</c:v>
                </c:pt>
                <c:pt idx="1">
                  <c:v>美术学院</c:v>
                </c:pt>
                <c:pt idx="2">
                  <c:v>音乐学院</c:v>
                </c:pt>
                <c:pt idx="3">
                  <c:v>数学与统计学院</c:v>
                </c:pt>
                <c:pt idx="4">
                  <c:v>化学化工学院</c:v>
                </c:pt>
                <c:pt idx="5">
                  <c:v>管理学院</c:v>
                </c:pt>
                <c:pt idx="6">
                  <c:v>土木建筑工程学院</c:v>
                </c:pt>
                <c:pt idx="7">
                  <c:v>大数据与智能工程学院</c:v>
                </c:pt>
                <c:pt idx="8">
                  <c:v>大学外语教学科研部</c:v>
                </c:pt>
                <c:pt idx="9">
                  <c:v>电子信息工程学院</c:v>
                </c:pt>
                <c:pt idx="10">
                  <c:v>马克思主义学院</c:v>
                </c:pt>
                <c:pt idx="11">
                  <c:v>文学院</c:v>
                </c:pt>
                <c:pt idx="12">
                  <c:v>政治与历史学院</c:v>
                </c:pt>
                <c:pt idx="13">
                  <c:v>现代农业与生物工程学院</c:v>
                </c:pt>
                <c:pt idx="14">
                  <c:v>教师教育学院</c:v>
                </c:pt>
                <c:pt idx="15">
                  <c:v>机器人工程学院</c:v>
                </c:pt>
                <c:pt idx="16">
                  <c:v>绿色智慧环境学院</c:v>
                </c:pt>
                <c:pt idx="17">
                  <c:v>外国语学院</c:v>
                </c:pt>
                <c:pt idx="18">
                  <c:v>传媒学院</c:v>
                </c:pt>
                <c:pt idx="19">
                  <c:v>财经学院</c:v>
                </c:pt>
                <c:pt idx="20">
                  <c:v>材料科学与工程学院</c:v>
                </c:pt>
              </c:strCache>
            </c:strRef>
          </c:cat>
          <c:val>
            <c:numRef>
              <c:f>'12'!$B$2:$B$22</c:f>
              <c:numCache>
                <c:formatCode>0.00</c:formatCode>
                <c:ptCount val="21"/>
                <c:pt idx="0">
                  <c:v>55</c:v>
                </c:pt>
                <c:pt idx="1">
                  <c:v>68</c:v>
                </c:pt>
                <c:pt idx="2">
                  <c:v>70</c:v>
                </c:pt>
                <c:pt idx="3">
                  <c:v>76</c:v>
                </c:pt>
                <c:pt idx="4">
                  <c:v>76.363636363636402</c:v>
                </c:pt>
                <c:pt idx="5">
                  <c:v>80</c:v>
                </c:pt>
                <c:pt idx="6">
                  <c:v>80</c:v>
                </c:pt>
                <c:pt idx="7">
                  <c:v>85</c:v>
                </c:pt>
                <c:pt idx="8">
                  <c:v>88.571428571428598</c:v>
                </c:pt>
                <c:pt idx="9">
                  <c:v>89.090909090908994</c:v>
                </c:pt>
                <c:pt idx="10">
                  <c:v>89.090909090908994</c:v>
                </c:pt>
                <c:pt idx="11">
                  <c:v>89.375</c:v>
                </c:pt>
                <c:pt idx="12">
                  <c:v>90</c:v>
                </c:pt>
                <c:pt idx="13">
                  <c:v>91.25</c:v>
                </c:pt>
                <c:pt idx="14">
                  <c:v>91.764705882352899</c:v>
                </c:pt>
                <c:pt idx="15">
                  <c:v>92</c:v>
                </c:pt>
                <c:pt idx="16">
                  <c:v>92.5</c:v>
                </c:pt>
                <c:pt idx="17">
                  <c:v>93.5</c:v>
                </c:pt>
                <c:pt idx="18">
                  <c:v>94.285714285714207</c:v>
                </c:pt>
                <c:pt idx="19">
                  <c:v>94.545454545454604</c:v>
                </c:pt>
                <c:pt idx="20">
                  <c:v>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92-4F95-BF0C-4F7DF930CAE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935553008"/>
        <c:axId val="935556752"/>
      </c:barChart>
      <c:catAx>
        <c:axId val="9355530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35556752"/>
        <c:crosses val="autoZero"/>
        <c:auto val="1"/>
        <c:lblAlgn val="ctr"/>
        <c:lblOffset val="100"/>
        <c:noMultiLvlLbl val="0"/>
      </c:catAx>
      <c:valAx>
        <c:axId val="9355567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35553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'13'!$B$1</c:f>
              <c:strCache>
                <c:ptCount val="1"/>
                <c:pt idx="0">
                  <c:v>自评自建（5）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'13'!$A$2:$A$22</c:f>
              <c:strCache>
                <c:ptCount val="21"/>
                <c:pt idx="0">
                  <c:v>土木建筑工程学院</c:v>
                </c:pt>
                <c:pt idx="1">
                  <c:v>管理学院</c:v>
                </c:pt>
                <c:pt idx="2">
                  <c:v>化学化工学院</c:v>
                </c:pt>
                <c:pt idx="3">
                  <c:v>体育与健康科学学院</c:v>
                </c:pt>
                <c:pt idx="4">
                  <c:v>美术学院</c:v>
                </c:pt>
                <c:pt idx="5">
                  <c:v>绿色智慧环境学院</c:v>
                </c:pt>
                <c:pt idx="6">
                  <c:v>政治与历史学院</c:v>
                </c:pt>
                <c:pt idx="7">
                  <c:v>数学与统计学院</c:v>
                </c:pt>
                <c:pt idx="8">
                  <c:v>外国语学院</c:v>
                </c:pt>
                <c:pt idx="9">
                  <c:v>马克思主义学院</c:v>
                </c:pt>
                <c:pt idx="10">
                  <c:v>音乐学院</c:v>
                </c:pt>
                <c:pt idx="11">
                  <c:v>文学院</c:v>
                </c:pt>
                <c:pt idx="12">
                  <c:v>材料科学与工程学院</c:v>
                </c:pt>
                <c:pt idx="13">
                  <c:v>大数据与智能工程学院</c:v>
                </c:pt>
                <c:pt idx="14">
                  <c:v>电子信息工程学院</c:v>
                </c:pt>
                <c:pt idx="15">
                  <c:v>传媒学院</c:v>
                </c:pt>
                <c:pt idx="16">
                  <c:v>大学外语教学科研部</c:v>
                </c:pt>
                <c:pt idx="17">
                  <c:v>机器人工程学院</c:v>
                </c:pt>
                <c:pt idx="18">
                  <c:v>财经学院</c:v>
                </c:pt>
                <c:pt idx="19">
                  <c:v>现代农业与生物工程学院</c:v>
                </c:pt>
                <c:pt idx="20">
                  <c:v>教师教育学院</c:v>
                </c:pt>
              </c:strCache>
            </c:strRef>
          </c:cat>
          <c:val>
            <c:numRef>
              <c:f>'13'!$B$2:$B$22</c:f>
              <c:numCache>
                <c:formatCode>0.00</c:formatCode>
                <c:ptCount val="21"/>
                <c:pt idx="0">
                  <c:v>71.25</c:v>
                </c:pt>
                <c:pt idx="1">
                  <c:v>80</c:v>
                </c:pt>
                <c:pt idx="2">
                  <c:v>80</c:v>
                </c:pt>
                <c:pt idx="3">
                  <c:v>80</c:v>
                </c:pt>
                <c:pt idx="4">
                  <c:v>82</c:v>
                </c:pt>
                <c:pt idx="5">
                  <c:v>86.25</c:v>
                </c:pt>
                <c:pt idx="6">
                  <c:v>87.5</c:v>
                </c:pt>
                <c:pt idx="7">
                  <c:v>89.3333333333334</c:v>
                </c:pt>
                <c:pt idx="8">
                  <c:v>89.5</c:v>
                </c:pt>
                <c:pt idx="9">
                  <c:v>90.909090909091006</c:v>
                </c:pt>
                <c:pt idx="10">
                  <c:v>91.428571428571402</c:v>
                </c:pt>
                <c:pt idx="11">
                  <c:v>91.875</c:v>
                </c:pt>
                <c:pt idx="12">
                  <c:v>92.5</c:v>
                </c:pt>
                <c:pt idx="13">
                  <c:v>92.5</c:v>
                </c:pt>
                <c:pt idx="14">
                  <c:v>92.727272727272805</c:v>
                </c:pt>
                <c:pt idx="15">
                  <c:v>94.285714285714207</c:v>
                </c:pt>
                <c:pt idx="16">
                  <c:v>94.285714285714207</c:v>
                </c:pt>
                <c:pt idx="17">
                  <c:v>96</c:v>
                </c:pt>
                <c:pt idx="18">
                  <c:v>96.363636363636402</c:v>
                </c:pt>
                <c:pt idx="19">
                  <c:v>97.5</c:v>
                </c:pt>
                <c:pt idx="20">
                  <c:v>98.823529411764696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80-4063-917F-3C8E7F7965F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935553008"/>
        <c:axId val="935556752"/>
      </c:barChart>
      <c:catAx>
        <c:axId val="9355530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35556752"/>
        <c:crosses val="autoZero"/>
        <c:auto val="1"/>
        <c:lblAlgn val="ctr"/>
        <c:lblOffset val="100"/>
        <c:noMultiLvlLbl val="0"/>
      </c:catAx>
      <c:valAx>
        <c:axId val="9355567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35553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'14'!$B$1</c:f>
              <c:strCache>
                <c:ptCount val="1"/>
                <c:pt idx="0">
                  <c:v>持续改进（5）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'14'!$A$2:$A$22</c:f>
              <c:strCache>
                <c:ptCount val="21"/>
                <c:pt idx="0">
                  <c:v>土木建筑工程学院</c:v>
                </c:pt>
                <c:pt idx="1">
                  <c:v>传媒学院</c:v>
                </c:pt>
                <c:pt idx="2">
                  <c:v>体育与健康科学学院</c:v>
                </c:pt>
                <c:pt idx="3">
                  <c:v>化学化工学院</c:v>
                </c:pt>
                <c:pt idx="4">
                  <c:v>美术学院</c:v>
                </c:pt>
                <c:pt idx="5">
                  <c:v>政治与历史学院</c:v>
                </c:pt>
                <c:pt idx="6">
                  <c:v>音乐学院</c:v>
                </c:pt>
                <c:pt idx="7">
                  <c:v>绿色智慧环境学院</c:v>
                </c:pt>
                <c:pt idx="8">
                  <c:v>电子信息工程学院</c:v>
                </c:pt>
                <c:pt idx="9">
                  <c:v>大数据与智能工程学院</c:v>
                </c:pt>
                <c:pt idx="10">
                  <c:v>马克思主义学院</c:v>
                </c:pt>
                <c:pt idx="11">
                  <c:v>管理学院</c:v>
                </c:pt>
                <c:pt idx="12">
                  <c:v>外国语学院</c:v>
                </c:pt>
                <c:pt idx="13">
                  <c:v>文学院</c:v>
                </c:pt>
                <c:pt idx="14">
                  <c:v>大学外语教学科研部</c:v>
                </c:pt>
                <c:pt idx="15">
                  <c:v>财经学院</c:v>
                </c:pt>
                <c:pt idx="16">
                  <c:v>材料科学与工程学院</c:v>
                </c:pt>
                <c:pt idx="17">
                  <c:v>机器人工程学院</c:v>
                </c:pt>
                <c:pt idx="18">
                  <c:v>教师教育学院</c:v>
                </c:pt>
                <c:pt idx="19">
                  <c:v>数学与统计学院</c:v>
                </c:pt>
                <c:pt idx="20">
                  <c:v>现代农业与生物工程学院</c:v>
                </c:pt>
              </c:strCache>
            </c:strRef>
          </c:cat>
          <c:val>
            <c:numRef>
              <c:f>'14'!$B$2:$B$22</c:f>
              <c:numCache>
                <c:formatCode>0.00</c:formatCode>
                <c:ptCount val="21"/>
                <c:pt idx="0">
                  <c:v>61.25</c:v>
                </c:pt>
                <c:pt idx="1">
                  <c:v>74.285714285714207</c:v>
                </c:pt>
                <c:pt idx="2">
                  <c:v>75</c:v>
                </c:pt>
                <c:pt idx="3">
                  <c:v>80</c:v>
                </c:pt>
                <c:pt idx="4">
                  <c:v>86</c:v>
                </c:pt>
                <c:pt idx="5">
                  <c:v>87.5</c:v>
                </c:pt>
                <c:pt idx="6">
                  <c:v>88.571428571428598</c:v>
                </c:pt>
                <c:pt idx="7">
                  <c:v>88.75</c:v>
                </c:pt>
                <c:pt idx="8">
                  <c:v>89.090909090908994</c:v>
                </c:pt>
                <c:pt idx="9">
                  <c:v>90</c:v>
                </c:pt>
                <c:pt idx="10">
                  <c:v>90.909090909091006</c:v>
                </c:pt>
                <c:pt idx="11">
                  <c:v>92.5</c:v>
                </c:pt>
                <c:pt idx="12">
                  <c:v>93</c:v>
                </c:pt>
                <c:pt idx="13">
                  <c:v>93.75</c:v>
                </c:pt>
                <c:pt idx="14">
                  <c:v>94.285714285714207</c:v>
                </c:pt>
                <c:pt idx="15">
                  <c:v>96.363636363636402</c:v>
                </c:pt>
                <c:pt idx="16">
                  <c:v>100</c:v>
                </c:pt>
                <c:pt idx="17">
                  <c:v>100</c:v>
                </c:pt>
                <c:pt idx="18">
                  <c:v>100</c:v>
                </c:pt>
                <c:pt idx="19">
                  <c:v>100</c:v>
                </c:pt>
                <c:pt idx="2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D0-40BE-BD6E-5ECE48B9E51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935553008"/>
        <c:axId val="935556752"/>
      </c:barChart>
      <c:catAx>
        <c:axId val="9355530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35556752"/>
        <c:crosses val="autoZero"/>
        <c:auto val="1"/>
        <c:lblAlgn val="ctr"/>
        <c:lblOffset val="100"/>
        <c:noMultiLvlLbl val="0"/>
      </c:catAx>
      <c:valAx>
        <c:axId val="9355567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35553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'1'!$B$1</c:f>
              <c:strCache>
                <c:ptCount val="1"/>
                <c:pt idx="0">
                  <c:v>考核方式符合教学大纲情况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'1'!$A$2:$A$22</c:f>
              <c:strCache>
                <c:ptCount val="21"/>
                <c:pt idx="0">
                  <c:v>美术学院</c:v>
                </c:pt>
                <c:pt idx="1">
                  <c:v>体育与健康科学学院</c:v>
                </c:pt>
                <c:pt idx="2">
                  <c:v>财经学院</c:v>
                </c:pt>
                <c:pt idx="3">
                  <c:v>现代农业与生物工程学院</c:v>
                </c:pt>
                <c:pt idx="4">
                  <c:v>音乐学院</c:v>
                </c:pt>
                <c:pt idx="5">
                  <c:v>机器人工程学院</c:v>
                </c:pt>
                <c:pt idx="6">
                  <c:v>材料科学与工程学院</c:v>
                </c:pt>
                <c:pt idx="7">
                  <c:v>马克思主义学院</c:v>
                </c:pt>
                <c:pt idx="8">
                  <c:v>数学与统计学院</c:v>
                </c:pt>
                <c:pt idx="9">
                  <c:v>电子信息工程学院</c:v>
                </c:pt>
                <c:pt idx="10">
                  <c:v>外国语学院</c:v>
                </c:pt>
                <c:pt idx="11">
                  <c:v>教师教育学院</c:v>
                </c:pt>
                <c:pt idx="12">
                  <c:v>土木建筑工程学院</c:v>
                </c:pt>
                <c:pt idx="13">
                  <c:v>文学院</c:v>
                </c:pt>
                <c:pt idx="14">
                  <c:v>政治与历史学院</c:v>
                </c:pt>
                <c:pt idx="15">
                  <c:v>传媒学院</c:v>
                </c:pt>
                <c:pt idx="16">
                  <c:v>大数据与智能工程学院</c:v>
                </c:pt>
                <c:pt idx="17">
                  <c:v>大学外语教学科研部</c:v>
                </c:pt>
                <c:pt idx="18">
                  <c:v>管理学院</c:v>
                </c:pt>
                <c:pt idx="19">
                  <c:v>化学化工学院</c:v>
                </c:pt>
                <c:pt idx="20">
                  <c:v>绿色智慧环境学院</c:v>
                </c:pt>
              </c:strCache>
            </c:strRef>
          </c:cat>
          <c:val>
            <c:numRef>
              <c:f>'1'!$B$2:$B$22</c:f>
              <c:numCache>
                <c:formatCode>0.00</c:formatCode>
                <c:ptCount val="21"/>
                <c:pt idx="0">
                  <c:v>64</c:v>
                </c:pt>
                <c:pt idx="1">
                  <c:v>72.5</c:v>
                </c:pt>
                <c:pt idx="2">
                  <c:v>80.909090909091006</c:v>
                </c:pt>
                <c:pt idx="3">
                  <c:v>84.375</c:v>
                </c:pt>
                <c:pt idx="4">
                  <c:v>85.714285714285495</c:v>
                </c:pt>
                <c:pt idx="5">
                  <c:v>87.333333333333499</c:v>
                </c:pt>
                <c:pt idx="6">
                  <c:v>90</c:v>
                </c:pt>
                <c:pt idx="7">
                  <c:v>90.909090909091006</c:v>
                </c:pt>
                <c:pt idx="8">
                  <c:v>91.333333333333499</c:v>
                </c:pt>
                <c:pt idx="9">
                  <c:v>92.727272727272506</c:v>
                </c:pt>
                <c:pt idx="10">
                  <c:v>94</c:v>
                </c:pt>
                <c:pt idx="11">
                  <c:v>94.117647058823493</c:v>
                </c:pt>
                <c:pt idx="12">
                  <c:v>97.5</c:v>
                </c:pt>
                <c:pt idx="13">
                  <c:v>97.5</c:v>
                </c:pt>
                <c:pt idx="14">
                  <c:v>97.5</c:v>
                </c:pt>
                <c:pt idx="15" formatCode="General">
                  <c:v>100</c:v>
                </c:pt>
                <c:pt idx="16">
                  <c:v>100</c:v>
                </c:pt>
                <c:pt idx="17">
                  <c:v>100</c:v>
                </c:pt>
                <c:pt idx="18">
                  <c:v>100</c:v>
                </c:pt>
                <c:pt idx="19">
                  <c:v>100</c:v>
                </c:pt>
                <c:pt idx="2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26-4A9C-BD96-801D1A3861E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935553008"/>
        <c:axId val="935556752"/>
      </c:barChart>
      <c:catAx>
        <c:axId val="9355530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35556752"/>
        <c:crosses val="autoZero"/>
        <c:auto val="1"/>
        <c:lblAlgn val="ctr"/>
        <c:lblOffset val="100"/>
        <c:noMultiLvlLbl val="0"/>
      </c:catAx>
      <c:valAx>
        <c:axId val="9355567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35553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'2'!$B$1</c:f>
              <c:strCache>
                <c:ptCount val="1"/>
                <c:pt idx="0">
                  <c:v>考核内容符合教学大纲情况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'2'!$A$2:$A$22</c:f>
              <c:strCache>
                <c:ptCount val="21"/>
                <c:pt idx="0">
                  <c:v>传媒学院</c:v>
                </c:pt>
                <c:pt idx="1">
                  <c:v>体育与健康科学学院</c:v>
                </c:pt>
                <c:pt idx="2">
                  <c:v>土木建筑工程学院</c:v>
                </c:pt>
                <c:pt idx="3">
                  <c:v>文学院</c:v>
                </c:pt>
                <c:pt idx="4">
                  <c:v>美术学院</c:v>
                </c:pt>
                <c:pt idx="5">
                  <c:v>音乐学院</c:v>
                </c:pt>
                <c:pt idx="6">
                  <c:v>电子信息工程学院</c:v>
                </c:pt>
                <c:pt idx="7">
                  <c:v>教师教育学院</c:v>
                </c:pt>
                <c:pt idx="8">
                  <c:v>马克思主义学院</c:v>
                </c:pt>
                <c:pt idx="9">
                  <c:v>数学与统计学院</c:v>
                </c:pt>
                <c:pt idx="10">
                  <c:v>材料科学与工程学院</c:v>
                </c:pt>
                <c:pt idx="11">
                  <c:v>大数据与智能工程学院</c:v>
                </c:pt>
                <c:pt idx="12">
                  <c:v>财经学院</c:v>
                </c:pt>
                <c:pt idx="13">
                  <c:v>政治与历史学院</c:v>
                </c:pt>
                <c:pt idx="14">
                  <c:v>管理学院</c:v>
                </c:pt>
                <c:pt idx="15">
                  <c:v>绿色智慧环境学院</c:v>
                </c:pt>
                <c:pt idx="16">
                  <c:v>机器人工程学院</c:v>
                </c:pt>
                <c:pt idx="17">
                  <c:v>大学外语教学科研部</c:v>
                </c:pt>
                <c:pt idx="18">
                  <c:v>外国语学院</c:v>
                </c:pt>
                <c:pt idx="19">
                  <c:v>化学化工学院</c:v>
                </c:pt>
                <c:pt idx="20">
                  <c:v>现代农业与生物工程学院</c:v>
                </c:pt>
              </c:strCache>
            </c:strRef>
          </c:cat>
          <c:val>
            <c:numRef>
              <c:f>'2'!$B$2:$B$22</c:f>
              <c:numCache>
                <c:formatCode>0.00</c:formatCode>
                <c:ptCount val="21"/>
                <c:pt idx="0">
                  <c:v>74.285714285714306</c:v>
                </c:pt>
                <c:pt idx="1">
                  <c:v>75</c:v>
                </c:pt>
                <c:pt idx="2">
                  <c:v>78.75</c:v>
                </c:pt>
                <c:pt idx="3">
                  <c:v>85.625</c:v>
                </c:pt>
                <c:pt idx="4">
                  <c:v>86</c:v>
                </c:pt>
                <c:pt idx="5">
                  <c:v>87.142857142857096</c:v>
                </c:pt>
                <c:pt idx="6">
                  <c:v>90</c:v>
                </c:pt>
                <c:pt idx="7">
                  <c:v>90.588235294117695</c:v>
                </c:pt>
                <c:pt idx="8">
                  <c:v>90.909090909090907</c:v>
                </c:pt>
                <c:pt idx="9">
                  <c:v>92</c:v>
                </c:pt>
                <c:pt idx="10">
                  <c:v>92.5</c:v>
                </c:pt>
                <c:pt idx="11" formatCode="General">
                  <c:v>92.5</c:v>
                </c:pt>
                <c:pt idx="12">
                  <c:v>92.727272727272705</c:v>
                </c:pt>
                <c:pt idx="13">
                  <c:v>95</c:v>
                </c:pt>
                <c:pt idx="14">
                  <c:v>97.5</c:v>
                </c:pt>
                <c:pt idx="15">
                  <c:v>97.5</c:v>
                </c:pt>
                <c:pt idx="16">
                  <c:v>97.6</c:v>
                </c:pt>
                <c:pt idx="17">
                  <c:v>97.71</c:v>
                </c:pt>
                <c:pt idx="18">
                  <c:v>97.75</c:v>
                </c:pt>
                <c:pt idx="19">
                  <c:v>98.181818181818201</c:v>
                </c:pt>
                <c:pt idx="2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12-485F-9F1C-9CD4C81C80D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755456976"/>
        <c:axId val="1755459472"/>
      </c:barChart>
      <c:catAx>
        <c:axId val="17554569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755459472"/>
        <c:crosses val="autoZero"/>
        <c:auto val="1"/>
        <c:lblAlgn val="ctr"/>
        <c:lblOffset val="100"/>
        <c:noMultiLvlLbl val="0"/>
      </c:catAx>
      <c:valAx>
        <c:axId val="17554594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7554569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'3'!$B$1</c:f>
              <c:strCache>
                <c:ptCount val="1"/>
                <c:pt idx="0">
                  <c:v>试卷题型题量情况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'3'!$A$2:$A$22</c:f>
              <c:strCache>
                <c:ptCount val="21"/>
                <c:pt idx="0">
                  <c:v>土木建筑工程学院</c:v>
                </c:pt>
                <c:pt idx="1">
                  <c:v>传媒学院</c:v>
                </c:pt>
                <c:pt idx="2">
                  <c:v>管理学院</c:v>
                </c:pt>
                <c:pt idx="3">
                  <c:v>体育与健康科学学院</c:v>
                </c:pt>
                <c:pt idx="4">
                  <c:v>大数据与智能工程学院</c:v>
                </c:pt>
                <c:pt idx="5">
                  <c:v>绿色智慧环境学院</c:v>
                </c:pt>
                <c:pt idx="6">
                  <c:v>数学与统计学院</c:v>
                </c:pt>
                <c:pt idx="7">
                  <c:v>美术学院</c:v>
                </c:pt>
                <c:pt idx="8">
                  <c:v>政治与历史学院</c:v>
                </c:pt>
                <c:pt idx="9">
                  <c:v>机器人工程学院</c:v>
                </c:pt>
                <c:pt idx="10">
                  <c:v>电子信息工程学院</c:v>
                </c:pt>
                <c:pt idx="11">
                  <c:v>材料科学与工程学院</c:v>
                </c:pt>
                <c:pt idx="12">
                  <c:v>教师教育学院</c:v>
                </c:pt>
                <c:pt idx="13">
                  <c:v>马克思主义学院</c:v>
                </c:pt>
                <c:pt idx="14">
                  <c:v>财经学院</c:v>
                </c:pt>
                <c:pt idx="15">
                  <c:v>大学外语教学科研部</c:v>
                </c:pt>
                <c:pt idx="16">
                  <c:v>音乐学院</c:v>
                </c:pt>
                <c:pt idx="17">
                  <c:v>外国语学院</c:v>
                </c:pt>
                <c:pt idx="18">
                  <c:v>文学院</c:v>
                </c:pt>
                <c:pt idx="19">
                  <c:v>现代农业与生物工程学院</c:v>
                </c:pt>
                <c:pt idx="20">
                  <c:v>化学化工学院</c:v>
                </c:pt>
              </c:strCache>
            </c:strRef>
          </c:cat>
          <c:val>
            <c:numRef>
              <c:f>'3'!$B$2:$B$22</c:f>
              <c:numCache>
                <c:formatCode>0.00</c:formatCode>
                <c:ptCount val="21"/>
                <c:pt idx="0">
                  <c:v>71.25</c:v>
                </c:pt>
                <c:pt idx="1">
                  <c:v>80</c:v>
                </c:pt>
                <c:pt idx="2">
                  <c:v>80</c:v>
                </c:pt>
                <c:pt idx="3">
                  <c:v>80</c:v>
                </c:pt>
                <c:pt idx="4">
                  <c:v>82.5</c:v>
                </c:pt>
                <c:pt idx="5">
                  <c:v>82.5</c:v>
                </c:pt>
                <c:pt idx="6">
                  <c:v>84</c:v>
                </c:pt>
                <c:pt idx="7">
                  <c:v>86</c:v>
                </c:pt>
                <c:pt idx="8">
                  <c:v>87.5</c:v>
                </c:pt>
                <c:pt idx="9">
                  <c:v>88</c:v>
                </c:pt>
                <c:pt idx="10" formatCode="General">
                  <c:v>89.09</c:v>
                </c:pt>
                <c:pt idx="11">
                  <c:v>90</c:v>
                </c:pt>
                <c:pt idx="12">
                  <c:v>90.588235294117695</c:v>
                </c:pt>
                <c:pt idx="13">
                  <c:v>90.909090909091006</c:v>
                </c:pt>
                <c:pt idx="14">
                  <c:v>91.42</c:v>
                </c:pt>
                <c:pt idx="15">
                  <c:v>91.428571428571402</c:v>
                </c:pt>
                <c:pt idx="16">
                  <c:v>91.428571428571402</c:v>
                </c:pt>
                <c:pt idx="17">
                  <c:v>92</c:v>
                </c:pt>
                <c:pt idx="18">
                  <c:v>93.75</c:v>
                </c:pt>
                <c:pt idx="19">
                  <c:v>97.5</c:v>
                </c:pt>
                <c:pt idx="2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9E-42F9-821F-D7309741B88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764609968"/>
        <c:axId val="1764612048"/>
      </c:barChart>
      <c:catAx>
        <c:axId val="17646099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764612048"/>
        <c:crosses val="autoZero"/>
        <c:auto val="1"/>
        <c:lblAlgn val="ctr"/>
        <c:lblOffset val="100"/>
        <c:noMultiLvlLbl val="0"/>
      </c:catAx>
      <c:valAx>
        <c:axId val="17646120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764609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'4'!$B$1</c:f>
              <c:strCache>
                <c:ptCount val="1"/>
                <c:pt idx="0">
                  <c:v>试卷出题质量情况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'4'!$A$2:$A$22</c:f>
              <c:strCache>
                <c:ptCount val="21"/>
                <c:pt idx="0">
                  <c:v>美术学院</c:v>
                </c:pt>
                <c:pt idx="1">
                  <c:v>土木建筑工程学院</c:v>
                </c:pt>
                <c:pt idx="2">
                  <c:v>体育与健康科学学院</c:v>
                </c:pt>
                <c:pt idx="3">
                  <c:v>音乐学院</c:v>
                </c:pt>
                <c:pt idx="4">
                  <c:v>材料科学与工程学院</c:v>
                </c:pt>
                <c:pt idx="5">
                  <c:v>大学外语教学科研部</c:v>
                </c:pt>
                <c:pt idx="6">
                  <c:v>管理学院</c:v>
                </c:pt>
                <c:pt idx="7">
                  <c:v>机器人工程学院</c:v>
                </c:pt>
                <c:pt idx="8">
                  <c:v>电子信息工程学院</c:v>
                </c:pt>
                <c:pt idx="9">
                  <c:v>数学与统计学院</c:v>
                </c:pt>
                <c:pt idx="10">
                  <c:v>传媒学院</c:v>
                </c:pt>
                <c:pt idx="11">
                  <c:v>外国语学院</c:v>
                </c:pt>
                <c:pt idx="12">
                  <c:v>教师教育学院</c:v>
                </c:pt>
                <c:pt idx="13">
                  <c:v>大数据与智能工程学院</c:v>
                </c:pt>
                <c:pt idx="14">
                  <c:v>绿色智慧环境学院</c:v>
                </c:pt>
                <c:pt idx="15">
                  <c:v>财经学院</c:v>
                </c:pt>
                <c:pt idx="16">
                  <c:v>马克思主义学院</c:v>
                </c:pt>
                <c:pt idx="17">
                  <c:v>政治与历史学院</c:v>
                </c:pt>
                <c:pt idx="18">
                  <c:v>现代农业与生物工程学院</c:v>
                </c:pt>
                <c:pt idx="19">
                  <c:v>文学院</c:v>
                </c:pt>
                <c:pt idx="20">
                  <c:v>化学化工学院</c:v>
                </c:pt>
              </c:strCache>
            </c:strRef>
          </c:cat>
          <c:val>
            <c:numRef>
              <c:f>'4'!$B$2:$B$22</c:f>
              <c:numCache>
                <c:formatCode>0.00</c:formatCode>
                <c:ptCount val="21"/>
                <c:pt idx="0">
                  <c:v>82</c:v>
                </c:pt>
                <c:pt idx="1">
                  <c:v>83.75</c:v>
                </c:pt>
                <c:pt idx="2">
                  <c:v>85</c:v>
                </c:pt>
                <c:pt idx="3">
                  <c:v>87.142857142857096</c:v>
                </c:pt>
                <c:pt idx="4" formatCode="General">
                  <c:v>88.75</c:v>
                </c:pt>
                <c:pt idx="5">
                  <c:v>90</c:v>
                </c:pt>
                <c:pt idx="6">
                  <c:v>90</c:v>
                </c:pt>
                <c:pt idx="7">
                  <c:v>90.3333333333333</c:v>
                </c:pt>
                <c:pt idx="8">
                  <c:v>90.909090909090907</c:v>
                </c:pt>
                <c:pt idx="9">
                  <c:v>91.3333333333333</c:v>
                </c:pt>
                <c:pt idx="10">
                  <c:v>91.428571428571402</c:v>
                </c:pt>
                <c:pt idx="11">
                  <c:v>95</c:v>
                </c:pt>
                <c:pt idx="12">
                  <c:v>95.294117647058798</c:v>
                </c:pt>
                <c:pt idx="13">
                  <c:v>96.3</c:v>
                </c:pt>
                <c:pt idx="14">
                  <c:v>96.3</c:v>
                </c:pt>
                <c:pt idx="15">
                  <c:v>96.363636363636402</c:v>
                </c:pt>
                <c:pt idx="16">
                  <c:v>96.363636363636402</c:v>
                </c:pt>
                <c:pt idx="17">
                  <c:v>96.37</c:v>
                </c:pt>
                <c:pt idx="18">
                  <c:v>97.5</c:v>
                </c:pt>
                <c:pt idx="19">
                  <c:v>97.6</c:v>
                </c:pt>
                <c:pt idx="2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C9-4FA2-B5E2-60BF6A11F27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755331152"/>
        <c:axId val="1755340720"/>
      </c:barChart>
      <c:catAx>
        <c:axId val="17553311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755340720"/>
        <c:crosses val="autoZero"/>
        <c:auto val="1"/>
        <c:lblAlgn val="ctr"/>
        <c:lblOffset val="100"/>
        <c:noMultiLvlLbl val="0"/>
      </c:catAx>
      <c:valAx>
        <c:axId val="17553407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7553311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'5'!$B$1</c:f>
              <c:strCache>
                <c:ptCount val="1"/>
                <c:pt idx="0">
                  <c:v>A、B试卷重复情况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'5'!$A$2:$A$22</c:f>
              <c:strCache>
                <c:ptCount val="21"/>
                <c:pt idx="0">
                  <c:v>化学化工学院</c:v>
                </c:pt>
                <c:pt idx="1">
                  <c:v>传媒学院</c:v>
                </c:pt>
                <c:pt idx="2">
                  <c:v>管理学院</c:v>
                </c:pt>
                <c:pt idx="3">
                  <c:v>体育与健康科学学院</c:v>
                </c:pt>
                <c:pt idx="4">
                  <c:v>大数据与智能工程学院</c:v>
                </c:pt>
                <c:pt idx="5">
                  <c:v>美术学院</c:v>
                </c:pt>
                <c:pt idx="6">
                  <c:v>电子信息工程学院</c:v>
                </c:pt>
                <c:pt idx="7">
                  <c:v>教师教育学院</c:v>
                </c:pt>
                <c:pt idx="8">
                  <c:v>大学外语教学科研部</c:v>
                </c:pt>
                <c:pt idx="9">
                  <c:v>音乐学院</c:v>
                </c:pt>
                <c:pt idx="10">
                  <c:v>马克思主义学院</c:v>
                </c:pt>
                <c:pt idx="11">
                  <c:v>外国语学院</c:v>
                </c:pt>
                <c:pt idx="12">
                  <c:v>财经学院</c:v>
                </c:pt>
                <c:pt idx="13">
                  <c:v>文学院</c:v>
                </c:pt>
                <c:pt idx="14">
                  <c:v>现代农业与生物工程学院</c:v>
                </c:pt>
                <c:pt idx="15">
                  <c:v>数学与统计学院</c:v>
                </c:pt>
                <c:pt idx="16">
                  <c:v>政治与历史学院</c:v>
                </c:pt>
                <c:pt idx="17">
                  <c:v>材料科学与工程学院</c:v>
                </c:pt>
                <c:pt idx="18">
                  <c:v>机器人工程学院</c:v>
                </c:pt>
                <c:pt idx="19">
                  <c:v>绿色智慧环境学院</c:v>
                </c:pt>
                <c:pt idx="20">
                  <c:v>土木建筑工程学院</c:v>
                </c:pt>
              </c:strCache>
            </c:strRef>
          </c:cat>
          <c:val>
            <c:numRef>
              <c:f>'5'!$B$2:$B$22</c:f>
              <c:numCache>
                <c:formatCode>0.00</c:formatCode>
                <c:ptCount val="21"/>
                <c:pt idx="0">
                  <c:v>65.454545454545396</c:v>
                </c:pt>
                <c:pt idx="1">
                  <c:v>77.142857142857196</c:v>
                </c:pt>
                <c:pt idx="2">
                  <c:v>77.5</c:v>
                </c:pt>
                <c:pt idx="3">
                  <c:v>85</c:v>
                </c:pt>
                <c:pt idx="4">
                  <c:v>87.5</c:v>
                </c:pt>
                <c:pt idx="5">
                  <c:v>90</c:v>
                </c:pt>
                <c:pt idx="6">
                  <c:v>90.909090909091006</c:v>
                </c:pt>
                <c:pt idx="7">
                  <c:v>94.117647058823493</c:v>
                </c:pt>
                <c:pt idx="8" formatCode="General">
                  <c:v>94.29</c:v>
                </c:pt>
                <c:pt idx="9">
                  <c:v>94.285714285714207</c:v>
                </c:pt>
                <c:pt idx="10">
                  <c:v>94.545454545454604</c:v>
                </c:pt>
                <c:pt idx="11">
                  <c:v>95.5</c:v>
                </c:pt>
                <c:pt idx="12">
                  <c:v>96.363636363636402</c:v>
                </c:pt>
                <c:pt idx="13">
                  <c:v>97.5</c:v>
                </c:pt>
                <c:pt idx="14">
                  <c:v>97.5</c:v>
                </c:pt>
                <c:pt idx="15">
                  <c:v>98.6666666666666</c:v>
                </c:pt>
                <c:pt idx="16">
                  <c:v>98.68</c:v>
                </c:pt>
                <c:pt idx="17">
                  <c:v>100</c:v>
                </c:pt>
                <c:pt idx="18">
                  <c:v>100</c:v>
                </c:pt>
                <c:pt idx="19">
                  <c:v>100</c:v>
                </c:pt>
                <c:pt idx="2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EA7-48CC-889D-C26FE2A0D4A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684305376"/>
        <c:axId val="1684305792"/>
      </c:barChart>
      <c:catAx>
        <c:axId val="16843053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684305792"/>
        <c:crosses val="autoZero"/>
        <c:auto val="1"/>
        <c:lblAlgn val="ctr"/>
        <c:lblOffset val="100"/>
        <c:noMultiLvlLbl val="0"/>
      </c:catAx>
      <c:valAx>
        <c:axId val="16843057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6843053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'6'!$B$1</c:f>
              <c:strCache>
                <c:ptCount val="1"/>
                <c:pt idx="0">
                  <c:v>试卷审批情况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'6'!$A$2:$A$22</c:f>
              <c:strCache>
                <c:ptCount val="21"/>
                <c:pt idx="0">
                  <c:v>数学与统计学院</c:v>
                </c:pt>
                <c:pt idx="1">
                  <c:v>现代农业与生物工程学院</c:v>
                </c:pt>
                <c:pt idx="2">
                  <c:v>美术学院</c:v>
                </c:pt>
                <c:pt idx="3">
                  <c:v>体育与健康科学学院</c:v>
                </c:pt>
                <c:pt idx="4">
                  <c:v>机器人工程学院</c:v>
                </c:pt>
                <c:pt idx="5">
                  <c:v>音乐学院</c:v>
                </c:pt>
                <c:pt idx="6">
                  <c:v>大学外语教学科研部</c:v>
                </c:pt>
                <c:pt idx="7">
                  <c:v>文学院</c:v>
                </c:pt>
                <c:pt idx="8">
                  <c:v>材料科学与工程学院</c:v>
                </c:pt>
                <c:pt idx="9">
                  <c:v>外国语学院</c:v>
                </c:pt>
                <c:pt idx="10">
                  <c:v>绿色智慧环境学院</c:v>
                </c:pt>
                <c:pt idx="11">
                  <c:v>土木建筑工程学院</c:v>
                </c:pt>
                <c:pt idx="12">
                  <c:v>政治与历史学院</c:v>
                </c:pt>
                <c:pt idx="13">
                  <c:v>教师教育学院</c:v>
                </c:pt>
                <c:pt idx="14">
                  <c:v>财经学院</c:v>
                </c:pt>
                <c:pt idx="15">
                  <c:v>传媒学院</c:v>
                </c:pt>
                <c:pt idx="16">
                  <c:v>大数据与智能工程学院</c:v>
                </c:pt>
                <c:pt idx="17">
                  <c:v>电子信息工程学院</c:v>
                </c:pt>
                <c:pt idx="18">
                  <c:v>管理学院</c:v>
                </c:pt>
                <c:pt idx="19">
                  <c:v>化学化工学院</c:v>
                </c:pt>
                <c:pt idx="20">
                  <c:v>马克思主义学院</c:v>
                </c:pt>
              </c:strCache>
            </c:strRef>
          </c:cat>
          <c:val>
            <c:numRef>
              <c:f>'6'!$B$2:$B$22</c:f>
              <c:numCache>
                <c:formatCode>0.00</c:formatCode>
                <c:ptCount val="21"/>
                <c:pt idx="0">
                  <c:v>73.7777777777777</c:v>
                </c:pt>
                <c:pt idx="1">
                  <c:v>81.25</c:v>
                </c:pt>
                <c:pt idx="2">
                  <c:v>83.3333333333333</c:v>
                </c:pt>
                <c:pt idx="3">
                  <c:v>86.6666666666667</c:v>
                </c:pt>
                <c:pt idx="4">
                  <c:v>88.6666666666667</c:v>
                </c:pt>
                <c:pt idx="5">
                  <c:v>92.380952380952294</c:v>
                </c:pt>
                <c:pt idx="6">
                  <c:v>94.285714285714306</c:v>
                </c:pt>
                <c:pt idx="7">
                  <c:v>95</c:v>
                </c:pt>
                <c:pt idx="8">
                  <c:v>95.8333333333333</c:v>
                </c:pt>
                <c:pt idx="9">
                  <c:v>96.5</c:v>
                </c:pt>
                <c:pt idx="10">
                  <c:v>97.5</c:v>
                </c:pt>
                <c:pt idx="11">
                  <c:v>97.5</c:v>
                </c:pt>
                <c:pt idx="12">
                  <c:v>97.5</c:v>
                </c:pt>
                <c:pt idx="13">
                  <c:v>97.647058823529406</c:v>
                </c:pt>
                <c:pt idx="14" formatCode="General">
                  <c:v>100</c:v>
                </c:pt>
                <c:pt idx="15">
                  <c:v>100</c:v>
                </c:pt>
                <c:pt idx="16">
                  <c:v>100</c:v>
                </c:pt>
                <c:pt idx="17">
                  <c:v>100</c:v>
                </c:pt>
                <c:pt idx="18">
                  <c:v>100</c:v>
                </c:pt>
                <c:pt idx="19">
                  <c:v>100</c:v>
                </c:pt>
                <c:pt idx="2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657-417E-BB8D-108A2146624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639675728"/>
        <c:axId val="1641645920"/>
      </c:barChart>
      <c:catAx>
        <c:axId val="1639675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641645920"/>
        <c:crosses val="autoZero"/>
        <c:auto val="1"/>
        <c:lblAlgn val="ctr"/>
        <c:lblOffset val="100"/>
        <c:noMultiLvlLbl val="0"/>
      </c:catAx>
      <c:valAx>
        <c:axId val="16416459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6396757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'7'!$B$1</c:f>
              <c:strCache>
                <c:ptCount val="1"/>
                <c:pt idx="0">
                  <c:v>试卷评阅公平、公正情况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'7'!$A$2:$A$22</c:f>
              <c:strCache>
                <c:ptCount val="21"/>
                <c:pt idx="0">
                  <c:v>土木建筑工程学院</c:v>
                </c:pt>
                <c:pt idx="1">
                  <c:v>管理学院</c:v>
                </c:pt>
                <c:pt idx="2">
                  <c:v>文学院</c:v>
                </c:pt>
                <c:pt idx="3">
                  <c:v>音乐学院</c:v>
                </c:pt>
                <c:pt idx="4">
                  <c:v>数学与统计学院</c:v>
                </c:pt>
                <c:pt idx="5">
                  <c:v>电子信息工程学院</c:v>
                </c:pt>
                <c:pt idx="6">
                  <c:v>绿色智慧环境学院</c:v>
                </c:pt>
                <c:pt idx="7">
                  <c:v>马克思主义学院</c:v>
                </c:pt>
                <c:pt idx="8">
                  <c:v>体育与健康科学学院</c:v>
                </c:pt>
                <c:pt idx="9">
                  <c:v>外国语学院</c:v>
                </c:pt>
                <c:pt idx="10">
                  <c:v>财经学院</c:v>
                </c:pt>
                <c:pt idx="11">
                  <c:v>机器人工程学院</c:v>
                </c:pt>
                <c:pt idx="12">
                  <c:v>教师教育学院</c:v>
                </c:pt>
                <c:pt idx="13">
                  <c:v>美术学院</c:v>
                </c:pt>
                <c:pt idx="14">
                  <c:v>材料科学与工程学院</c:v>
                </c:pt>
                <c:pt idx="15">
                  <c:v>政治与历史学院</c:v>
                </c:pt>
                <c:pt idx="16">
                  <c:v>传媒学院</c:v>
                </c:pt>
                <c:pt idx="17">
                  <c:v>大数据与智能工程学院</c:v>
                </c:pt>
                <c:pt idx="18">
                  <c:v>现代农业与生物工程学院</c:v>
                </c:pt>
                <c:pt idx="19">
                  <c:v>化学化工学院</c:v>
                </c:pt>
                <c:pt idx="20">
                  <c:v>大学外语教学科研部</c:v>
                </c:pt>
              </c:strCache>
            </c:strRef>
          </c:cat>
          <c:val>
            <c:numRef>
              <c:f>'7'!$B$2:$B$22</c:f>
              <c:numCache>
                <c:formatCode>0.00</c:formatCode>
                <c:ptCount val="21"/>
                <c:pt idx="0">
                  <c:v>81.25</c:v>
                </c:pt>
                <c:pt idx="1">
                  <c:v>82.5</c:v>
                </c:pt>
                <c:pt idx="2">
                  <c:v>84.5833333333333</c:v>
                </c:pt>
                <c:pt idx="3">
                  <c:v>85.238095238095298</c:v>
                </c:pt>
                <c:pt idx="4">
                  <c:v>86.222222222222001</c:v>
                </c:pt>
                <c:pt idx="5">
                  <c:v>86.6666666666667</c:v>
                </c:pt>
                <c:pt idx="6">
                  <c:v>86.6666666666667</c:v>
                </c:pt>
                <c:pt idx="7">
                  <c:v>86.6666666666667</c:v>
                </c:pt>
                <c:pt idx="8">
                  <c:v>86.6666666666667</c:v>
                </c:pt>
                <c:pt idx="9">
                  <c:v>87.2</c:v>
                </c:pt>
                <c:pt idx="10">
                  <c:v>87.272727272727295</c:v>
                </c:pt>
                <c:pt idx="11">
                  <c:v>87.3333333333333</c:v>
                </c:pt>
                <c:pt idx="12">
                  <c:v>87.843137254902004</c:v>
                </c:pt>
                <c:pt idx="13">
                  <c:v>88</c:v>
                </c:pt>
                <c:pt idx="14">
                  <c:v>88.3333333333333</c:v>
                </c:pt>
                <c:pt idx="15">
                  <c:v>88.3333333333333</c:v>
                </c:pt>
                <c:pt idx="16">
                  <c:v>90</c:v>
                </c:pt>
                <c:pt idx="17">
                  <c:v>90</c:v>
                </c:pt>
                <c:pt idx="18">
                  <c:v>91</c:v>
                </c:pt>
                <c:pt idx="19">
                  <c:v>96.363636363636701</c:v>
                </c:pt>
                <c:pt idx="2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28-4F66-842B-23FBC379F4F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703184192"/>
        <c:axId val="703185440"/>
      </c:barChart>
      <c:catAx>
        <c:axId val="703184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03185440"/>
        <c:crosses val="autoZero"/>
        <c:auto val="1"/>
        <c:lblAlgn val="ctr"/>
        <c:lblOffset val="100"/>
        <c:noMultiLvlLbl val="0"/>
      </c:catAx>
      <c:valAx>
        <c:axId val="7031854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031841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'8'!$B$1</c:f>
              <c:strCache>
                <c:ptCount val="1"/>
                <c:pt idx="0">
                  <c:v>试卷评阅计分情况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'8'!$A$2:$A$22</c:f>
              <c:strCache>
                <c:ptCount val="21"/>
                <c:pt idx="0">
                  <c:v>美术学院</c:v>
                </c:pt>
                <c:pt idx="1">
                  <c:v>土木建筑工程学院</c:v>
                </c:pt>
                <c:pt idx="2">
                  <c:v>管理学院</c:v>
                </c:pt>
                <c:pt idx="3">
                  <c:v>体育与健康科学学院</c:v>
                </c:pt>
                <c:pt idx="4">
                  <c:v>材料科学与工程学院</c:v>
                </c:pt>
                <c:pt idx="5">
                  <c:v>政治与历史学院</c:v>
                </c:pt>
                <c:pt idx="6">
                  <c:v>传媒学院</c:v>
                </c:pt>
                <c:pt idx="7">
                  <c:v>机器人工程学院</c:v>
                </c:pt>
                <c:pt idx="8">
                  <c:v>教师教育学院</c:v>
                </c:pt>
                <c:pt idx="9">
                  <c:v>大学外语教学科研部</c:v>
                </c:pt>
                <c:pt idx="10">
                  <c:v>大数据与智能工程学院</c:v>
                </c:pt>
                <c:pt idx="11">
                  <c:v>绿色智慧环境学院</c:v>
                </c:pt>
                <c:pt idx="12">
                  <c:v>外国语学院</c:v>
                </c:pt>
                <c:pt idx="13">
                  <c:v>文学院</c:v>
                </c:pt>
                <c:pt idx="14">
                  <c:v>财经学院</c:v>
                </c:pt>
                <c:pt idx="15">
                  <c:v>化学化工学院</c:v>
                </c:pt>
                <c:pt idx="16">
                  <c:v>音乐学院</c:v>
                </c:pt>
                <c:pt idx="17">
                  <c:v>现代农业与生物工程学院</c:v>
                </c:pt>
                <c:pt idx="18">
                  <c:v>电子信息工程学院</c:v>
                </c:pt>
                <c:pt idx="19">
                  <c:v>数学与统计学院</c:v>
                </c:pt>
                <c:pt idx="20">
                  <c:v>马克思主义学院</c:v>
                </c:pt>
              </c:strCache>
            </c:strRef>
          </c:cat>
          <c:val>
            <c:numRef>
              <c:f>'8'!$B$2:$B$22</c:f>
              <c:numCache>
                <c:formatCode>0.00</c:formatCode>
                <c:ptCount val="21"/>
                <c:pt idx="0">
                  <c:v>80</c:v>
                </c:pt>
                <c:pt idx="1">
                  <c:v>81.25</c:v>
                </c:pt>
                <c:pt idx="2">
                  <c:v>85</c:v>
                </c:pt>
                <c:pt idx="3">
                  <c:v>85</c:v>
                </c:pt>
                <c:pt idx="4">
                  <c:v>90</c:v>
                </c:pt>
                <c:pt idx="5">
                  <c:v>90</c:v>
                </c:pt>
                <c:pt idx="6">
                  <c:v>91.428571428571402</c:v>
                </c:pt>
                <c:pt idx="7">
                  <c:v>93.3333333333333</c:v>
                </c:pt>
                <c:pt idx="8">
                  <c:v>94.117647058823493</c:v>
                </c:pt>
                <c:pt idx="9">
                  <c:v>94.285714285714207</c:v>
                </c:pt>
                <c:pt idx="10">
                  <c:v>95</c:v>
                </c:pt>
                <c:pt idx="11">
                  <c:v>95</c:v>
                </c:pt>
                <c:pt idx="12">
                  <c:v>95</c:v>
                </c:pt>
                <c:pt idx="13">
                  <c:v>96.25</c:v>
                </c:pt>
                <c:pt idx="14">
                  <c:v>96.363636363636402</c:v>
                </c:pt>
                <c:pt idx="15">
                  <c:v>96.363636363636402</c:v>
                </c:pt>
                <c:pt idx="16">
                  <c:v>97.142857142857196</c:v>
                </c:pt>
                <c:pt idx="17">
                  <c:v>97.5</c:v>
                </c:pt>
                <c:pt idx="18">
                  <c:v>98.181818181818201</c:v>
                </c:pt>
                <c:pt idx="19">
                  <c:v>98.6666666666666</c:v>
                </c:pt>
                <c:pt idx="2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D4-4B75-94A6-85C8CBF7F6C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935553008"/>
        <c:axId val="935556752"/>
      </c:barChart>
      <c:catAx>
        <c:axId val="9355530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35556752"/>
        <c:crosses val="autoZero"/>
        <c:auto val="1"/>
        <c:lblAlgn val="ctr"/>
        <c:lblOffset val="100"/>
        <c:noMultiLvlLbl val="0"/>
      </c:catAx>
      <c:valAx>
        <c:axId val="9355567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35553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2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FDE5418-5AE9-45F0-8844-165D1E1ED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95</TotalTime>
  <Pages>23</Pages>
  <Words>560</Words>
  <Characters>3196</Characters>
  <Application>Microsoft Office Word</Application>
  <DocSecurity>0</DocSecurity>
  <Lines>26</Lines>
  <Paragraphs>7</Paragraphs>
  <ScaleCrop>false</ScaleCrop>
  <Company>Microsoft</Company>
  <LinksUpToDate>false</LinksUpToDate>
  <CharactersWithSpaces>3749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嗯呐</dc:creator>
  <cp:lastModifiedBy>刘开华</cp:lastModifiedBy>
  <cp:revision>302</cp:revision>
  <cp:lastPrinted>2023-09-06T09:18:00Z</cp:lastPrinted>
  <dcterms:created xsi:type="dcterms:W3CDTF">2023-05-19T01:51:00Z</dcterms:created>
  <dcterms:modified xsi:type="dcterms:W3CDTF">2024-05-27T01:24:00Z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  <property fmtid="{D5CDD505-2E9C-101B-9397-08002B2CF9AE}" pid="3" name="ICV">
    <vt:lpwstr>0CA7A149EA98443B8B23B8B8F7F0E332_13</vt:lpwstr>
  </property>
</Properties>
</file>